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Redland City Council</w:t>
      </w:r>
    </w:p>
    <w:p w:rsidR="001A6775">
      <w:pPr>
        <w:pStyle w:val="Heading4"/>
        <w:bidi w:val="0"/>
        <w:spacing w:after="280" w:afterAutospacing="1"/>
      </w:pPr>
      <w:r>
        <w:rPr>
          <w:rtl w:val="0"/>
        </w:rPr>
        <w:t>Proficiency in English</w:t>
      </w:r>
    </w:p>
    <w:p w:rsidR="001A6775">
      <w:pPr>
        <w:bidi w:val="0"/>
        <w:spacing w:after="280" w:afterAutospacing="1"/>
      </w:pPr>
      <w:r>
        <w:rPr>
          <w:rtl w:val="0"/>
        </w:rPr>
        <w:t xml:space="preserve">Proficiency in English measures the self-assessed proficiency in spoken English of people who speak a language other than English at home. The data, when viewed with other ethnic and cultural indicators, such as </w:t>
      </w:r>
      <w:r>
        <w:rPr>
          <w:rtl w:val="0"/>
        </w:rPr>
        <w:fldChar w:fldCharType="begin"/>
      </w:r>
      <w:r>
        <w:rPr>
          <w:rtl w:val="0"/>
        </w:rPr>
        <w:instrText xml:space="preserve"> HYPERLINK "ancestry?[QS]" </w:instrText>
      </w:r>
      <w:r>
        <w:rPr>
          <w:rtl w:val="0"/>
        </w:rPr>
        <w:fldChar w:fldCharType="separate"/>
      </w:r>
      <w:r>
        <w:rPr>
          <w:color w:val="0000FF"/>
          <w:u w:val="single"/>
          <w:rtl w:val="0"/>
        </w:rPr>
        <w:t>Ancestry</w:t>
      </w:r>
      <w:r>
        <w:rPr>
          <w:rtl w:val="0"/>
        </w:rPr>
        <w:fldChar w:fldCharType="end"/>
      </w:r>
      <w:r>
        <w:rPr>
          <w:rtl w:val="0"/>
        </w:rPr>
        <w:t xml:space="preserve">, </w:t>
      </w:r>
      <w:r>
        <w:rPr>
          <w:rtl w:val="0"/>
        </w:rPr>
        <w:fldChar w:fldCharType="begin"/>
      </w:r>
      <w:r>
        <w:rPr>
          <w:rtl w:val="0"/>
        </w:rPr>
        <w:instrText xml:space="preserve"> HYPERLINK "birthplace?[QS]" </w:instrText>
      </w:r>
      <w:r>
        <w:rPr>
          <w:rtl w:val="0"/>
        </w:rPr>
        <w:fldChar w:fldCharType="separate"/>
      </w:r>
      <w:r>
        <w:rPr>
          <w:color w:val="0000FF"/>
          <w:u w:val="single"/>
          <w:rtl w:val="0"/>
        </w:rPr>
        <w:t>Country of Birth</w:t>
      </w:r>
      <w:r>
        <w:rPr>
          <w:rtl w:val="0"/>
        </w:rPr>
        <w:fldChar w:fldCharType="end"/>
      </w:r>
      <w:r>
        <w:rPr>
          <w:rtl w:val="0"/>
        </w:rPr>
        <w:t xml:space="preserve">,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 xml:space="preserve"> and </w:t>
      </w:r>
      <w:r>
        <w:rPr>
          <w:rtl w:val="0"/>
        </w:rPr>
        <w:fldChar w:fldCharType="begin"/>
      </w:r>
      <w:r>
        <w:rPr>
          <w:rtl w:val="0"/>
        </w:rPr>
        <w:instrText xml:space="preserve"> HYPERLINK "religion?[QS]" </w:instrText>
      </w:r>
      <w:r>
        <w:rPr>
          <w:rtl w:val="0"/>
        </w:rPr>
        <w:fldChar w:fldCharType="separate"/>
      </w:r>
      <w:r>
        <w:rPr>
          <w:color w:val="0000FF"/>
          <w:u w:val="single"/>
          <w:rtl w:val="0"/>
        </w:rPr>
        <w:t>Religion</w:t>
      </w:r>
      <w:r>
        <w:rPr>
          <w:rtl w:val="0"/>
        </w:rPr>
        <w:fldChar w:fldCharType="end"/>
      </w:r>
      <w:r>
        <w:rPr>
          <w:rtl w:val="0"/>
        </w:rPr>
        <w:t>, reflects Redland Bay's ethnic composition and how long the overseas born have been in Australia. This helps service providers determine whether they need to communicate with the local population in languages other than English.</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Proficiency in English</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Redland Bay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English proficiency</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Redland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Redland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Speaks English only</w:t>
            </w:r>
          </w:p>
        </w:tc>
        <w:tc>
          <w:tcPr>
            <w:vAlign w:val="center"/>
          </w:tcPr>
          <w:p w:rsidR="001A6775">
            <w:pPr>
              <w:bidi w:val="0"/>
              <w:spacing w:after="0" w:afterAutospacing="1"/>
              <w:jc w:val="right"/>
              <w:rPr>
                <w:b w:val="0"/>
                <w:sz w:val="20"/>
              </w:rPr>
            </w:pPr>
            <w:r>
              <w:rPr>
                <w:b w:val="0"/>
                <w:sz w:val="20"/>
              </w:rPr>
              <w:t>15,589</w:t>
            </w:r>
          </w:p>
        </w:tc>
        <w:tc>
          <w:tcPr>
            <w:vAlign w:val="center"/>
          </w:tcPr>
          <w:p w:rsidR="001A6775">
            <w:pPr>
              <w:bidi w:val="0"/>
              <w:spacing w:after="0" w:afterAutospacing="1"/>
              <w:jc w:val="right"/>
              <w:rPr>
                <w:b w:val="0"/>
                <w:sz w:val="20"/>
              </w:rPr>
            </w:pPr>
            <w:r>
              <w:rPr>
                <w:b w:val="0"/>
                <w:sz w:val="20"/>
              </w:rPr>
              <w:t>91.4</w:t>
            </w:r>
          </w:p>
        </w:tc>
        <w:tc>
          <w:tcPr>
            <w:vAlign w:val="center"/>
          </w:tcPr>
          <w:p w:rsidR="001A6775">
            <w:pPr>
              <w:bidi w:val="0"/>
              <w:spacing w:after="0" w:afterAutospacing="1"/>
              <w:jc w:val="right"/>
              <w:rPr>
                <w:b w:val="0"/>
                <w:sz w:val="20"/>
              </w:rPr>
            </w:pPr>
            <w:r>
              <w:rPr>
                <w:b w:val="0"/>
                <w:sz w:val="20"/>
              </w:rPr>
              <w:t>88.9</w:t>
            </w:r>
          </w:p>
        </w:tc>
        <w:tc>
          <w:tcPr>
            <w:vAlign w:val="center"/>
          </w:tcPr>
          <w:p w:rsidR="001A6775">
            <w:pPr>
              <w:bidi w:val="0"/>
              <w:spacing w:after="0" w:afterAutospacing="1"/>
              <w:jc w:val="right"/>
              <w:rPr>
                <w:b w:val="0"/>
                <w:sz w:val="20"/>
              </w:rPr>
            </w:pPr>
            <w:r>
              <w:rPr>
                <w:b w:val="0"/>
                <w:sz w:val="20"/>
              </w:rPr>
              <w:t>14,018</w:t>
            </w:r>
          </w:p>
        </w:tc>
        <w:tc>
          <w:tcPr>
            <w:vAlign w:val="center"/>
          </w:tcPr>
          <w:p w:rsidR="001A6775">
            <w:pPr>
              <w:bidi w:val="0"/>
              <w:spacing w:after="0" w:afterAutospacing="1"/>
              <w:jc w:val="right"/>
              <w:rPr>
                <w:b w:val="0"/>
                <w:sz w:val="20"/>
              </w:rPr>
            </w:pPr>
            <w:r>
              <w:rPr>
                <w:b w:val="0"/>
                <w:sz w:val="20"/>
              </w:rPr>
              <w:t>89.9</w:t>
            </w:r>
          </w:p>
        </w:tc>
        <w:tc>
          <w:tcPr>
            <w:vAlign w:val="center"/>
          </w:tcPr>
          <w:p w:rsidR="001A6775">
            <w:pPr>
              <w:bidi w:val="0"/>
              <w:spacing w:after="0" w:afterAutospacing="1"/>
              <w:jc w:val="right"/>
              <w:rPr>
                <w:b w:val="0"/>
                <w:sz w:val="20"/>
              </w:rPr>
            </w:pPr>
            <w:r>
              <w:rPr>
                <w:b w:val="0"/>
                <w:sz w:val="20"/>
              </w:rPr>
              <w:t>88.9</w:t>
            </w:r>
          </w:p>
        </w:tc>
        <w:tc>
          <w:tcPr>
            <w:vAlign w:val="center"/>
          </w:tcPr>
          <w:p w:rsidR="001A6775">
            <w:pPr>
              <w:bidi w:val="0"/>
              <w:spacing w:after="0" w:afterAutospacing="1"/>
              <w:jc w:val="right"/>
              <w:rPr>
                <w:b w:val="0"/>
                <w:sz w:val="20"/>
              </w:rPr>
            </w:pPr>
            <w:r>
              <w:rPr>
                <w:b w:val="0"/>
                <w:sz w:val="20"/>
              </w:rPr>
              <w:t>+1,571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Speaks English well or very well</w:t>
            </w:r>
          </w:p>
        </w:tc>
        <w:tc>
          <w:tcPr>
            <w:vAlign w:val="center"/>
          </w:tcPr>
          <w:p w:rsidR="001A6775">
            <w:pPr>
              <w:bidi w:val="0"/>
              <w:spacing w:after="0" w:afterAutospacing="1"/>
              <w:jc w:val="right"/>
              <w:rPr>
                <w:b w:val="0"/>
                <w:sz w:val="20"/>
              </w:rPr>
            </w:pPr>
            <w:r>
              <w:rPr>
                <w:b w:val="0"/>
                <w:sz w:val="20"/>
              </w:rPr>
              <w:t>867</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736</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+131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Speaks English not well or not at all</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531</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770</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-239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population</w:t>
            </w:r>
          </w:p>
        </w:tc>
        <w:tc>
          <w:tcPr>
            <w:vAlign w:val="center"/>
          </w:tcPr>
          <w:p w:rsidR="001A6775">
            <w:pPr>
              <w:bidi w:val="0"/>
              <w:spacing w:after="0" w:afterAutospacing="1"/>
              <w:jc w:val="right"/>
              <w:rPr>
                <w:b/>
                <w:sz w:val="20"/>
              </w:rPr>
            </w:pPr>
            <w:r>
              <w:rPr>
                <w:b/>
                <w:sz w:val="20"/>
              </w:rPr>
              <w:t>17,059</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15,593</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+1,466</w:t>
            </w:r>
          </w:p>
        </w:tc>
      </w:tr>
    </w:tbl>
    <w:p>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pPr>
        <w:bidi w:val="0"/>
        <w:spacing w:after="0" w:afterAutospacing="1"/>
        <w:jc w:val="center"/>
      </w:pPr>
      <w:r>
        <w:pict>
          <v:shape id="_x0000_i1026" type="#_x0000_t75" style="height:286pt;width:481pt">
            <v:imagedata r:id="rId6" o:title=""/>
          </v:shape>
        </w:pict>
      </w:r>
    </w:p>
    <w:p>
      <w:pPr>
        <w:bidi w:val="0"/>
        <w:spacing w:after="280" w:afterAutospacing="1"/>
      </w:pPr>
      <w:r>
        <w:rPr>
          <w:rtl w:val="0"/>
        </w:rPr>
        <w:t>Analysis of the proficiency in English data of the population in Redland Bay in 2021 compared to Redland City shows that there was a higher proportion of people who spoke English only, and a similar proportion of people who spoke another language and English not well or not at all.</w:t>
      </w:r>
    </w:p>
    <w:p>
      <w:pPr>
        <w:bidi w:val="0"/>
        <w:spacing w:after="280" w:afterAutospacing="1"/>
        <w:rPr>
          <w:rtl w:val="0"/>
        </w:rPr>
      </w:pPr>
      <w:r>
        <w:rPr>
          <w:rtl w:val="0"/>
        </w:rPr>
        <w:t>Overall, 91.4% of people spoke English only, and 0.4% spoke another language and English not well or not at all, compared with 88.9% and 0.7% respectively for Redland City.</w:t>
      </w:r>
    </w:p>
    <w:p>
      <w:pPr>
        <w:bidi w:val="0"/>
        <w:spacing w:after="280" w:afterAutospacing="1"/>
      </w:pPr>
      <w:r>
        <w:rPr>
          <w:rtl w:val="0"/>
        </w:rPr>
        <w:t>The most significant changes in the proficiency in English of the population in this area between 2016 and 2021 were in those speaking:</w:t>
      </w:r>
    </w:p>
    <w:p>
      <w:pPr>
        <w:numPr>
          <w:ilvl w:val="0"/>
          <w:numId w:val="1"/>
        </w:numPr>
        <w:bidi w:val="0"/>
        <w:spacing w:after="0" w:afterAutospacing="0"/>
        <w:rPr>
          <w:rtl w:val="0"/>
        </w:rPr>
      </w:pPr>
      <w:r>
        <w:rPr>
          <w:rtl w:val="0"/>
        </w:rPr>
        <w:t>Speaks English only (+1,571 persons)</w:t>
      </w:r>
    </w:p>
    <w:p>
      <w:pPr>
        <w:numPr>
          <w:ilvl w:val="0"/>
          <w:numId w:val="1"/>
        </w:numPr>
        <w:bidi w:val="0"/>
        <w:spacing w:after="280" w:afterAutospacing="1"/>
        <w:ind w:left="720"/>
        <w:rPr>
          <w:rtl w:val="0"/>
        </w:rPr>
      </w:pPr>
      <w:r>
        <w:rPr>
          <w:rtl w:val="0"/>
        </w:rPr>
        <w:t>Speaks English well or very well (+131 persons)</w:t>
      </w:r>
    </w:p>
    <w:p>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