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Migration summary</w:t>
      </w:r>
    </w:p>
    <w:p w:rsidR="001A6775">
      <w:pPr>
        <w:bidi w:val="0"/>
        <w:spacing w:after="280" w:afterAutospacing="1"/>
      </w:pPr>
      <w:r>
        <w:rPr>
          <w:b/>
          <w:bCs/>
          <w:rtl w:val="0"/>
        </w:rPr>
        <w:t>In Redland City, a lower rate of people did not change address (0.0%), while a higher rate (39.06%) moved from elsewhere in Australia, and a lower rate (2.4%) moved from overseas. A total of 30,026 people, or 50.9% of those who moved within Australia, moved within Redland City.</w:t>
      </w:r>
    </w:p>
    <w:p>
      <w:pPr>
        <w:bidi w:val="0"/>
        <w:spacing w:after="280" w:afterAutospacing="1"/>
      </w:pPr>
      <w:r>
        <w:rPr>
          <w:rtl w:val="0"/>
        </w:rPr>
        <w:t>Migration, or residential mobility, together with births and deaths are significant components of population change in Australia. Migration is the most volatile component of population change and can be affected by changing housing and economic opportunities such as housing affordability issues or the mining boom. The three main types of migration are overseas migration, interstate migration and within-state migration, of which within-state is the most common and largely involves moves between neighbouring areas within an urban or regional setting.</w:t>
      </w:r>
    </w:p>
    <w:p>
      <w:pPr>
        <w:bidi w:val="0"/>
        <w:spacing w:after="280" w:afterAutospacing="1"/>
        <w:rPr>
          <w:rtl w:val="0"/>
        </w:rPr>
      </w:pPr>
      <w:r>
        <w:rPr>
          <w:rtl w:val="0"/>
        </w:rPr>
        <w:t xml:space="preserve">Looking at the level and type of migration in Redland City can indicate whether the population is sedentary and likely to be in the area for a long time (and perhaps have significant ties to the community), or transient, and likely to move on. Related topics which can be viewed to get a clearer picture of population mobility include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(young adults are likely to move more often) and </w:t>
      </w:r>
      <w:r>
        <w:rPr>
          <w:rtl w:val="0"/>
        </w:rPr>
        <w:fldChar w:fldCharType="begin"/>
      </w:r>
      <w:r>
        <w:rPr>
          <w:rtl w:val="0"/>
        </w:rPr>
        <w:instrText xml:space="preserve"> HYPERLINK "tenure?[QS]" </w:instrText>
      </w:r>
      <w:r>
        <w:rPr>
          <w:rtl w:val="0"/>
        </w:rPr>
        <w:fldChar w:fldCharType="separate"/>
      </w:r>
      <w:r>
        <w:rPr>
          <w:color w:val="0000FF"/>
          <w:u w:val="single"/>
          <w:rtl w:val="0"/>
        </w:rPr>
        <w:t>Housing Tenure</w:t>
      </w:r>
      <w:r>
        <w:rPr>
          <w:rtl w:val="0"/>
        </w:rPr>
        <w:fldChar w:fldCharType="end"/>
      </w:r>
      <w:r>
        <w:rPr>
          <w:rtl w:val="0"/>
        </w:rPr>
        <w:t xml:space="preserve"> (generally renters move more often while home ownership indicates a more stable population).</w:t>
      </w:r>
    </w:p>
    <w:p>
      <w:pPr>
        <w:bidi w:val="0"/>
        <w:spacing w:after="280" w:afterAutospacing="1"/>
      </w:pPr>
      <w:r>
        <w:rPr>
          <w:rtl w:val="0"/>
        </w:rPr>
        <w:t xml:space="preserve">This table shows the broad trends of movement between Redland City and the states/territories of Australia, and from overseas over the 5 years from 2016-2021. For more detail on local movements within the state, please refer to the </w:t>
      </w:r>
      <w:r>
        <w:rPr>
          <w:rtl w:val="0"/>
        </w:rPr>
        <w:fldChar w:fldCharType="begin"/>
      </w:r>
      <w:r>
        <w:rPr>
          <w:rtl w:val="0"/>
        </w:rPr>
        <w:instrText xml:space="preserve"> HYPERLINK " migration-by-age?[QS]" </w:instrText>
      </w:r>
      <w:r>
        <w:rPr>
          <w:rtl w:val="0"/>
        </w:rPr>
        <w:fldChar w:fldCharType="separate"/>
      </w:r>
      <w:r>
        <w:rPr>
          <w:color w:val="0000FF"/>
          <w:u w:val="single"/>
          <w:rtl w:val="0"/>
        </w:rPr>
        <w:t xml:space="preserve">Migration by age by location </w:t>
      </w:r>
      <w:r>
        <w:rPr>
          <w:rtl w:val="0"/>
        </w:rPr>
        <w:fldChar w:fldCharType="end"/>
      </w:r>
      <w:r>
        <w:rPr>
          <w:rtl w:val="0"/>
        </w:rPr>
        <w:t>page.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vAlign w:val="center"/>
          </w:tcPr>
          <w:p w:rsidR="001A6775">
            <w:pPr>
              <w:bidi w:val="0"/>
              <w:spacing w:after="0" w:afterAutospacing="1"/>
              <w:jc w:val="right"/>
              <w:rPr>
                <w:sz w:val="20"/>
              </w:rPr>
            </w:pPr>
            <w:r>
              <w:rPr>
                <w:sz w:val="20"/>
              </w:rPr>
              <w:t>ClientID</w:t>
            </w:r>
          </w:p>
        </w:tc>
        <w:tc>
          <w:tcPr>
            <w:vAlign w:val="center"/>
          </w:tcPr>
          <w:p w:rsidR="001A6775">
            <w:pPr>
              <w:bidi w:val="0"/>
              <w:spacing w:after="0" w:afterAutospacing="1"/>
              <w:jc w:val="right"/>
              <w:rPr>
                <w:sz w:val="20"/>
              </w:rPr>
            </w:pPr>
            <w:r>
              <w:rPr>
                <w:sz w:val="20"/>
              </w:rPr>
              <w:t>LabelKey</w:t>
            </w:r>
          </w:p>
        </w:tc>
        <w:tc>
          <w:tcPr>
            <w:vAlign w:val="center"/>
          </w:tcPr>
          <w:p w:rsidR="001A6775">
            <w:pPr>
              <w:bidi w:val="0"/>
              <w:spacing w:after="0" w:afterAutospacing="1"/>
              <w:jc w:val="right"/>
              <w:rPr>
                <w:sz w:val="20"/>
              </w:rPr>
            </w:pPr>
            <w:r>
              <w:rPr>
                <w:sz w:val="20"/>
              </w:rPr>
              <w:t>DSID</w:t>
            </w:r>
          </w:p>
        </w:tc>
        <w:tc>
          <w:tcPr>
            <w:vAlign w:val="center"/>
          </w:tcPr>
          <w:p w:rsidR="001A6775">
            <w:pPr>
              <w:bidi w:val="0"/>
              <w:spacing w:after="0" w:afterAutospacing="1"/>
              <w:jc w:val="right"/>
              <w:rPr>
                <w:sz w:val="20"/>
              </w:rPr>
            </w:pPr>
            <w:r>
              <w:rPr>
                <w:sz w:val="20"/>
              </w:rPr>
              <w:t>Year</w:t>
            </w:r>
          </w:p>
        </w:tc>
        <w:tc>
          <w:tcPr>
            <w:vAlign w:val="center"/>
          </w:tcPr>
          <w:p w:rsidR="001A6775">
            <w:pPr>
              <w:bidi w:val="0"/>
              <w:spacing w:after="0" w:afterAutospacing="1"/>
              <w:jc w:val="right"/>
              <w:rPr>
                <w:sz w:val="20"/>
              </w:rPr>
            </w:pPr>
            <w:r>
              <w:rPr>
                <w:sz w:val="20"/>
              </w:rPr>
              <w:t>NoYear1</w:t>
            </w:r>
          </w:p>
        </w:tc>
        <w:tc>
          <w:tcPr>
            <w:vAlign w:val="center"/>
          </w:tcPr>
          <w:p w:rsidR="001A6775">
            <w:pPr>
              <w:bidi w:val="0"/>
              <w:spacing w:after="0" w:afterAutospacing="1"/>
              <w:jc w:val="right"/>
              <w:rPr>
                <w:sz w:val="20"/>
              </w:rPr>
            </w:pPr>
            <w:r>
              <w:rPr>
                <w:sz w:val="20"/>
              </w:rPr>
              <w:t>PerYear1</w:t>
            </w:r>
          </w:p>
        </w:tc>
        <w:tc>
          <w:tcPr>
            <w:vAlign w:val="center"/>
          </w:tcPr>
          <w:p w:rsidR="001A6775">
            <w:pPr>
              <w:bidi w:val="0"/>
              <w:spacing w:after="0" w:afterAutospacing="1"/>
              <w:jc w:val="right"/>
              <w:rPr>
                <w:sz w:val="20"/>
              </w:rPr>
            </w:pPr>
            <w:r>
              <w:rPr>
                <w:sz w:val="20"/>
              </w:rPr>
              <w:t>PerYear1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348</w:t>
            </w:r>
          </w:p>
        </w:tc>
        <w:tc>
          <w:tcPr>
            <w:vAlign w:val="center"/>
          </w:tcPr>
          <w:p w:rsidR="001A6775">
            <w:pPr>
              <w:bidi w:val="0"/>
              <w:spacing w:after="0" w:afterAutospacing="1"/>
              <w:jc w:val="right"/>
              <w:rPr>
                <w:b w:val="0"/>
                <w:sz w:val="20"/>
              </w:rPr>
            </w:pPr>
            <w:r>
              <w:rPr>
                <w:b w:val="0"/>
                <w:sz w:val="20"/>
              </w:rPr>
              <w:t>19,990</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81,725</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53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348</w:t>
            </w:r>
          </w:p>
        </w:tc>
        <w:tc>
          <w:tcPr>
            <w:vAlign w:val="center"/>
          </w:tcPr>
          <w:p w:rsidR="001A6775">
            <w:pPr>
              <w:bidi w:val="0"/>
              <w:spacing w:after="0" w:afterAutospacing="1"/>
              <w:jc w:val="right"/>
              <w:rPr>
                <w:b w:val="0"/>
                <w:sz w:val="20"/>
              </w:rPr>
            </w:pPr>
            <w:r>
              <w:rPr>
                <w:b w:val="0"/>
                <w:sz w:val="20"/>
              </w:rPr>
              <w:t>19,991</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59,011</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348</w:t>
            </w:r>
          </w:p>
        </w:tc>
        <w:tc>
          <w:tcPr>
            <w:vAlign w:val="center"/>
          </w:tcPr>
          <w:p w:rsidR="001A6775">
            <w:pPr>
              <w:bidi w:val="0"/>
              <w:spacing w:after="0" w:afterAutospacing="1"/>
              <w:jc w:val="right"/>
              <w:rPr>
                <w:b w:val="0"/>
                <w:sz w:val="20"/>
              </w:rPr>
            </w:pPr>
            <w:r>
              <w:rPr>
                <w:b w:val="0"/>
                <w:sz w:val="20"/>
              </w:rPr>
              <w:t>19,992</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3,604</w:t>
            </w:r>
          </w:p>
        </w:tc>
        <w:tc>
          <w:tcPr>
            <w:vAlign w:val="center"/>
          </w:tcPr>
          <w:p w:rsidR="001A6775">
            <w:pPr>
              <w:bidi w:val="0"/>
              <w:spacing w:after="0" w:afterAutospacing="1"/>
              <w:jc w:val="right"/>
              <w:rPr>
                <w:b w:val="0"/>
                <w:sz w:val="20"/>
              </w:rPr>
            </w:pPr>
            <w:r>
              <w:rPr>
                <w:b w:val="0"/>
                <w:sz w:val="20"/>
              </w:rPr>
              <w:t>2</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348</w:t>
            </w:r>
          </w:p>
        </w:tc>
        <w:tc>
          <w:tcPr>
            <w:vAlign w:val="center"/>
          </w:tcPr>
          <w:p w:rsidR="001A6775">
            <w:pPr>
              <w:bidi w:val="0"/>
              <w:spacing w:after="0" w:afterAutospacing="1"/>
              <w:jc w:val="right"/>
              <w:rPr>
                <w:b w:val="0"/>
                <w:sz w:val="20"/>
              </w:rPr>
            </w:pPr>
            <w:r>
              <w:rPr>
                <w:b w:val="0"/>
                <w:sz w:val="20"/>
              </w:rPr>
              <w:t>19,994</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30,026</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left"/>
              <w:rPr>
                <w:b w:val="0"/>
                <w:sz w:val="20"/>
              </w:rPr>
            </w:pPr>
          </w:p>
        </w:tc>
      </w:tr>
    </w:tbl>
    <w:p>
      <w:pPr>
        <w:bidi w:val="0"/>
        <w:spacing w:after="280" w:afterAutospacing="1"/>
      </w:pPr>
      <w:r>
        <w:rPr>
          <w:b/>
          <w:bCs/>
          <w:rtl w:val="0"/>
        </w:rPr>
        <w:t>Please note:</w:t>
      </w:r>
      <w:r>
        <w:rPr>
          <w:rtl w:val="0"/>
        </w:rPr>
        <w:t xml:space="preserve"> Although this page references the Developing East Arnhem area, the data given is based on the East Arnhem LGA.</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pPr>
              <w:bidi w:val="0"/>
              <w:spacing w:after="0" w:afterAutospacing="1"/>
              <w:jc w:val="left"/>
              <w:rPr>
                <w:b/>
                <w:sz w:val="20"/>
              </w:rPr>
            </w:pPr>
            <w:r>
              <w:rPr>
                <w:b/>
                <w:sz w:val="30"/>
              </w:rPr>
              <w:t>Migration between the area and other States/Territories</w:t>
            </w:r>
          </w:p>
        </w:tc>
        <w:tc>
          <w:tcPr>
            <w:hMerge/>
          </w:tcPr>
          <w:p>
            <w:pPr>
              <w:bidi w:val="0"/>
              <w:spacing w:after="0" w:afterAutospacing="1"/>
              <w:jc w:val="left"/>
              <w:rPr>
                <w:b/>
                <w:sz w:val="30"/>
              </w:rPr>
            </w:pPr>
          </w:p>
        </w:tc>
        <w:tc>
          <w:tcPr>
            <w:hMerge/>
          </w:tcPr>
          <w:p>
            <w:pPr>
              <w:bidi w:val="0"/>
              <w:spacing w:after="0" w:afterAutospacing="1"/>
              <w:jc w:val="left"/>
              <w:rPr>
                <w:b/>
                <w:sz w:val="30"/>
              </w:rPr>
            </w:pPr>
          </w:p>
        </w:tc>
        <w:tc>
          <w:tcPr>
            <w:hMerge/>
          </w:tcPr>
          <w:p>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hMerge w:val="restart"/>
          </w:tcPr>
          <w:p>
            <w:pPr>
              <w:bidi w:val="0"/>
              <w:spacing w:after="0" w:afterAutospacing="1"/>
              <w:jc w:val="left"/>
              <w:rPr>
                <w:b/>
                <w:sz w:val="30"/>
              </w:rPr>
            </w:pPr>
            <w:r>
              <w:rPr>
                <w:b/>
                <w:sz w:val="20"/>
              </w:rPr>
              <w:t>Redland City</w:t>
            </w:r>
          </w:p>
        </w:tc>
        <w:tc>
          <w:tcPr>
            <w:hMerge/>
          </w:tcPr>
          <w:p>
            <w:pPr>
              <w:bidi w:val="0"/>
              <w:spacing w:after="0" w:afterAutospacing="1"/>
              <w:jc w:val="left"/>
              <w:rPr>
                <w:b/>
                <w:sz w:val="20"/>
              </w:rPr>
            </w:pPr>
          </w:p>
        </w:tc>
        <w:tc>
          <w:tcPr>
            <w:hMerge/>
          </w:tcPr>
          <w:p>
            <w:pPr>
              <w:bidi w:val="0"/>
              <w:spacing w:after="0" w:afterAutospacing="1"/>
              <w:jc w:val="left"/>
              <w:rPr>
                <w:b/>
                <w:sz w:val="20"/>
              </w:rPr>
            </w:pPr>
          </w:p>
        </w:tc>
        <w:tc>
          <w:tcPr>
            <w:hMerge/>
          </w:tcPr>
          <w:p>
            <w:pPr>
              <w:bidi w:val="0"/>
              <w:spacing w:after="0" w:afterAutospacing="1"/>
              <w:jc w:val="left"/>
              <w:rPr>
                <w:b/>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sz w:val="20"/>
              </w:rPr>
            </w:pPr>
            <w:r>
              <w:rPr>
                <w:b/>
                <w:sz w:val="20"/>
              </w:rPr>
              <w:t>State / Territory</w:t>
            </w:r>
          </w:p>
        </w:tc>
        <w:tc>
          <w:tcPr>
            <w:vAlign w:val="center"/>
          </w:tcPr>
          <w:p>
            <w:pPr>
              <w:bidi w:val="0"/>
              <w:spacing w:after="0" w:afterAutospacing="1"/>
              <w:jc w:val="right"/>
              <w:rPr>
                <w:b/>
                <w:sz w:val="20"/>
              </w:rPr>
            </w:pPr>
            <w:r>
              <w:rPr>
                <w:b/>
                <w:sz w:val="20"/>
              </w:rPr>
              <w:t>In migration</w:t>
            </w:r>
          </w:p>
        </w:tc>
        <w:tc>
          <w:tcPr>
            <w:vAlign w:val="center"/>
          </w:tcPr>
          <w:p>
            <w:pPr>
              <w:bidi w:val="0"/>
              <w:spacing w:after="0" w:afterAutospacing="1"/>
              <w:jc w:val="right"/>
              <w:rPr>
                <w:b/>
                <w:sz w:val="20"/>
              </w:rPr>
            </w:pPr>
            <w:r>
              <w:rPr>
                <w:b/>
                <w:sz w:val="20"/>
              </w:rPr>
              <w:t>Out migration</w:t>
            </w:r>
          </w:p>
        </w:tc>
        <w:tc>
          <w:tcPr>
            <w:vAlign w:val="center"/>
          </w:tcPr>
          <w:p>
            <w:pPr>
              <w:bidi w:val="0"/>
              <w:spacing w:after="0" w:afterAutospacing="1"/>
              <w:jc w:val="right"/>
              <w:rPr>
                <w:b/>
                <w:sz w:val="20"/>
              </w:rPr>
            </w:pPr>
            <w:r>
              <w:rPr>
                <w:b/>
                <w:sz w:val="20"/>
              </w:rPr>
              <w:t>Net migration</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New South Wales</w:t>
            </w:r>
          </w:p>
        </w:tc>
        <w:tc>
          <w:tcPr>
            <w:vAlign w:val="center"/>
          </w:tcPr>
          <w:p>
            <w:pPr>
              <w:bidi w:val="0"/>
              <w:spacing w:after="0" w:afterAutospacing="1"/>
              <w:jc w:val="right"/>
              <w:rPr>
                <w:b w:val="0"/>
                <w:sz w:val="20"/>
              </w:rPr>
            </w:pPr>
            <w:r>
              <w:rPr>
                <w:b w:val="0"/>
                <w:sz w:val="20"/>
              </w:rPr>
              <w:t>3,627</w:t>
            </w:r>
          </w:p>
        </w:tc>
        <w:tc>
          <w:tcPr>
            <w:vAlign w:val="center"/>
          </w:tcPr>
          <w:p>
            <w:pPr>
              <w:bidi w:val="0"/>
              <w:spacing w:after="0" w:afterAutospacing="1"/>
              <w:jc w:val="right"/>
              <w:rPr>
                <w:b w:val="0"/>
                <w:sz w:val="20"/>
              </w:rPr>
            </w:pPr>
            <w:r>
              <w:rPr>
                <w:b w:val="0"/>
                <w:sz w:val="20"/>
              </w:rPr>
              <w:t>1,333</w:t>
            </w:r>
          </w:p>
        </w:tc>
        <w:tc>
          <w:tcPr>
            <w:vAlign w:val="center"/>
          </w:tcPr>
          <w:p>
            <w:pPr>
              <w:bidi w:val="0"/>
              <w:spacing w:after="0" w:afterAutospacing="1"/>
              <w:jc w:val="right"/>
              <w:rPr>
                <w:b w:val="0"/>
                <w:sz w:val="20"/>
              </w:rPr>
            </w:pPr>
            <w:r>
              <w:rPr>
                <w:b w:val="0"/>
                <w:sz w:val="20"/>
              </w:rPr>
              <w:t>2,294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Victoria</w:t>
            </w:r>
          </w:p>
        </w:tc>
        <w:tc>
          <w:tcPr>
            <w:vAlign w:val="center"/>
          </w:tcPr>
          <w:p>
            <w:pPr>
              <w:bidi w:val="0"/>
              <w:spacing w:after="0" w:afterAutospacing="1"/>
              <w:jc w:val="right"/>
              <w:rPr>
                <w:b w:val="0"/>
                <w:sz w:val="20"/>
              </w:rPr>
            </w:pPr>
            <w:r>
              <w:rPr>
                <w:b w:val="0"/>
                <w:sz w:val="20"/>
              </w:rPr>
              <w:t>1,384</w:t>
            </w:r>
          </w:p>
        </w:tc>
        <w:tc>
          <w:tcPr>
            <w:vAlign w:val="center"/>
          </w:tcPr>
          <w:p>
            <w:pPr>
              <w:bidi w:val="0"/>
              <w:spacing w:after="0" w:afterAutospacing="1"/>
              <w:jc w:val="right"/>
              <w:rPr>
                <w:b w:val="0"/>
                <w:sz w:val="20"/>
              </w:rPr>
            </w:pPr>
            <w:r>
              <w:rPr>
                <w:b w:val="0"/>
                <w:sz w:val="20"/>
              </w:rPr>
              <w:t>589</w:t>
            </w:r>
          </w:p>
        </w:tc>
        <w:tc>
          <w:tcPr>
            <w:vAlign w:val="center"/>
          </w:tcPr>
          <w:p>
            <w:pPr>
              <w:bidi w:val="0"/>
              <w:spacing w:after="0" w:afterAutospacing="1"/>
              <w:jc w:val="right"/>
              <w:rPr>
                <w:b w:val="0"/>
                <w:sz w:val="20"/>
              </w:rPr>
            </w:pPr>
            <w:r>
              <w:rPr>
                <w:b w:val="0"/>
                <w:sz w:val="20"/>
              </w:rPr>
              <w:t>795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Queensland</w:t>
            </w:r>
          </w:p>
        </w:tc>
        <w:tc>
          <w:tcPr>
            <w:vAlign w:val="center"/>
          </w:tcPr>
          <w:p>
            <w:pPr>
              <w:bidi w:val="0"/>
              <w:spacing w:after="0" w:afterAutospacing="1"/>
              <w:jc w:val="right"/>
              <w:rPr>
                <w:b w:val="0"/>
                <w:sz w:val="20"/>
              </w:rPr>
            </w:pPr>
            <w:r>
              <w:rPr>
                <w:b w:val="0"/>
                <w:sz w:val="20"/>
              </w:rPr>
              <w:t>21,074</w:t>
            </w:r>
          </w:p>
        </w:tc>
        <w:tc>
          <w:tcPr>
            <w:vAlign w:val="center"/>
          </w:tcPr>
          <w:p>
            <w:pPr>
              <w:bidi w:val="0"/>
              <w:spacing w:after="0" w:afterAutospacing="1"/>
              <w:jc w:val="right"/>
              <w:rPr>
                <w:b w:val="0"/>
                <w:sz w:val="20"/>
              </w:rPr>
            </w:pPr>
            <w:r>
              <w:rPr>
                <w:b w:val="0"/>
                <w:sz w:val="20"/>
              </w:rPr>
              <w:t>20,108</w:t>
            </w:r>
          </w:p>
        </w:tc>
        <w:tc>
          <w:tcPr>
            <w:vAlign w:val="center"/>
          </w:tcPr>
          <w:p>
            <w:pPr>
              <w:bidi w:val="0"/>
              <w:spacing w:after="0" w:afterAutospacing="1"/>
              <w:jc w:val="right"/>
              <w:rPr>
                <w:b w:val="0"/>
                <w:sz w:val="20"/>
              </w:rPr>
            </w:pPr>
            <w:r>
              <w:rPr>
                <w:b w:val="0"/>
                <w:sz w:val="20"/>
              </w:rPr>
              <w:t>966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South Australia</w:t>
            </w:r>
          </w:p>
        </w:tc>
        <w:tc>
          <w:tcPr>
            <w:vAlign w:val="center"/>
          </w:tcPr>
          <w:p>
            <w:pPr>
              <w:bidi w:val="0"/>
              <w:spacing w:after="0" w:afterAutospacing="1"/>
              <w:jc w:val="right"/>
              <w:rPr>
                <w:b w:val="0"/>
                <w:sz w:val="20"/>
              </w:rPr>
            </w:pPr>
            <w:r>
              <w:rPr>
                <w:b w:val="0"/>
                <w:sz w:val="20"/>
              </w:rPr>
              <w:t>262</w:t>
            </w:r>
          </w:p>
        </w:tc>
        <w:tc>
          <w:tcPr>
            <w:vAlign w:val="center"/>
          </w:tcPr>
          <w:p>
            <w:pPr>
              <w:bidi w:val="0"/>
              <w:spacing w:after="0" w:afterAutospacing="1"/>
              <w:jc w:val="right"/>
              <w:rPr>
                <w:b w:val="0"/>
                <w:sz w:val="20"/>
              </w:rPr>
            </w:pPr>
            <w:r>
              <w:rPr>
                <w:b w:val="0"/>
                <w:sz w:val="20"/>
              </w:rPr>
              <w:t>153</w:t>
            </w:r>
          </w:p>
        </w:tc>
        <w:tc>
          <w:tcPr>
            <w:vAlign w:val="center"/>
          </w:tcPr>
          <w:p>
            <w:pPr>
              <w:bidi w:val="0"/>
              <w:spacing w:after="0" w:afterAutospacing="1"/>
              <w:jc w:val="right"/>
              <w:rPr>
                <w:b w:val="0"/>
                <w:sz w:val="20"/>
              </w:rPr>
            </w:pPr>
            <w:r>
              <w:rPr>
                <w:b w:val="0"/>
                <w:sz w:val="20"/>
              </w:rPr>
              <w:t>109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Western Australia</w:t>
            </w:r>
          </w:p>
        </w:tc>
        <w:tc>
          <w:tcPr>
            <w:vAlign w:val="center"/>
          </w:tcPr>
          <w:p>
            <w:pPr>
              <w:bidi w:val="0"/>
              <w:spacing w:after="0" w:afterAutospacing="1"/>
              <w:jc w:val="right"/>
              <w:rPr>
                <w:b w:val="0"/>
                <w:sz w:val="20"/>
              </w:rPr>
            </w:pPr>
            <w:r>
              <w:rPr>
                <w:b w:val="0"/>
                <w:sz w:val="20"/>
              </w:rPr>
              <w:t>371</w:t>
            </w:r>
          </w:p>
        </w:tc>
        <w:tc>
          <w:tcPr>
            <w:vAlign w:val="center"/>
          </w:tcPr>
          <w:p>
            <w:pPr>
              <w:bidi w:val="0"/>
              <w:spacing w:after="0" w:afterAutospacing="1"/>
              <w:jc w:val="right"/>
              <w:rPr>
                <w:b w:val="0"/>
                <w:sz w:val="20"/>
              </w:rPr>
            </w:pPr>
            <w:r>
              <w:rPr>
                <w:b w:val="0"/>
                <w:sz w:val="20"/>
              </w:rPr>
              <w:t>294</w:t>
            </w:r>
          </w:p>
        </w:tc>
        <w:tc>
          <w:tcPr>
            <w:vAlign w:val="center"/>
          </w:tcPr>
          <w:p>
            <w:pPr>
              <w:bidi w:val="0"/>
              <w:spacing w:after="0" w:afterAutospacing="1"/>
              <w:jc w:val="right"/>
              <w:rPr>
                <w:b w:val="0"/>
                <w:sz w:val="20"/>
              </w:rPr>
            </w:pPr>
            <w:r>
              <w:rPr>
                <w:b w:val="0"/>
                <w:sz w:val="20"/>
              </w:rPr>
              <w:t>77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Tasmania</w:t>
            </w:r>
          </w:p>
        </w:tc>
        <w:tc>
          <w:tcPr>
            <w:vAlign w:val="center"/>
          </w:tcPr>
          <w:p>
            <w:pPr>
              <w:bidi w:val="0"/>
              <w:spacing w:after="0" w:afterAutospacing="1"/>
              <w:jc w:val="right"/>
              <w:rPr>
                <w:b w:val="0"/>
                <w:sz w:val="20"/>
              </w:rPr>
            </w:pPr>
            <w:r>
              <w:rPr>
                <w:b w:val="0"/>
                <w:sz w:val="20"/>
              </w:rPr>
              <w:t>131</w:t>
            </w:r>
          </w:p>
        </w:tc>
        <w:tc>
          <w:tcPr>
            <w:vAlign w:val="center"/>
          </w:tcPr>
          <w:p>
            <w:pPr>
              <w:bidi w:val="0"/>
              <w:spacing w:after="0" w:afterAutospacing="1"/>
              <w:jc w:val="right"/>
              <w:rPr>
                <w:b w:val="0"/>
                <w:sz w:val="20"/>
              </w:rPr>
            </w:pPr>
            <w:r>
              <w:rPr>
                <w:b w:val="0"/>
                <w:sz w:val="20"/>
              </w:rPr>
              <w:t>246</w:t>
            </w:r>
          </w:p>
        </w:tc>
        <w:tc>
          <w:tcPr>
            <w:vAlign w:val="center"/>
          </w:tcPr>
          <w:p>
            <w:pPr>
              <w:bidi w:val="0"/>
              <w:spacing w:after="0" w:afterAutospacing="1"/>
              <w:jc w:val="right"/>
              <w:rPr>
                <w:b w:val="0"/>
                <w:sz w:val="20"/>
              </w:rPr>
            </w:pPr>
            <w:r>
              <w:rPr>
                <w:b w:val="0"/>
                <w:sz w:val="20"/>
              </w:rPr>
              <w:t>-115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Northern Territory</w:t>
            </w:r>
          </w:p>
        </w:tc>
        <w:tc>
          <w:tcPr>
            <w:vAlign w:val="center"/>
          </w:tcPr>
          <w:p>
            <w:pPr>
              <w:bidi w:val="0"/>
              <w:spacing w:after="0" w:afterAutospacing="1"/>
              <w:jc w:val="right"/>
              <w:rPr>
                <w:b w:val="0"/>
                <w:sz w:val="20"/>
              </w:rPr>
            </w:pPr>
            <w:r>
              <w:rPr>
                <w:b w:val="0"/>
                <w:sz w:val="20"/>
              </w:rPr>
              <w:t>213</w:t>
            </w:r>
          </w:p>
        </w:tc>
        <w:tc>
          <w:tcPr>
            <w:vAlign w:val="center"/>
          </w:tcPr>
          <w:p>
            <w:pPr>
              <w:bidi w:val="0"/>
              <w:spacing w:after="0" w:afterAutospacing="1"/>
              <w:jc w:val="right"/>
              <w:rPr>
                <w:b w:val="0"/>
                <w:sz w:val="20"/>
              </w:rPr>
            </w:pPr>
            <w:r>
              <w:rPr>
                <w:b w:val="0"/>
                <w:sz w:val="20"/>
              </w:rPr>
              <w:t>61</w:t>
            </w:r>
          </w:p>
        </w:tc>
        <w:tc>
          <w:tcPr>
            <w:vAlign w:val="center"/>
          </w:tcPr>
          <w:p>
            <w:pPr>
              <w:bidi w:val="0"/>
              <w:spacing w:after="0" w:afterAutospacing="1"/>
              <w:jc w:val="right"/>
              <w:rPr>
                <w:b w:val="0"/>
                <w:sz w:val="20"/>
              </w:rPr>
            </w:pPr>
            <w:r>
              <w:rPr>
                <w:b w:val="0"/>
                <w:sz w:val="20"/>
              </w:rPr>
              <w:t>152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Australian Capital Territory</w:t>
            </w:r>
          </w:p>
        </w:tc>
        <w:tc>
          <w:tcPr>
            <w:vAlign w:val="center"/>
          </w:tcPr>
          <w:p>
            <w:pPr>
              <w:bidi w:val="0"/>
              <w:spacing w:after="0" w:afterAutospacing="1"/>
              <w:jc w:val="right"/>
              <w:rPr>
                <w:b w:val="0"/>
                <w:sz w:val="20"/>
              </w:rPr>
            </w:pPr>
            <w:r>
              <w:rPr>
                <w:b w:val="0"/>
                <w:sz w:val="20"/>
              </w:rPr>
              <w:t>194</w:t>
            </w:r>
          </w:p>
        </w:tc>
        <w:tc>
          <w:tcPr>
            <w:vAlign w:val="center"/>
          </w:tcPr>
          <w:p>
            <w:pPr>
              <w:bidi w:val="0"/>
              <w:spacing w:after="0" w:afterAutospacing="1"/>
              <w:jc w:val="right"/>
              <w:rPr>
                <w:b w:val="0"/>
                <w:sz w:val="20"/>
              </w:rPr>
            </w:pPr>
            <w:r>
              <w:rPr>
                <w:b w:val="0"/>
                <w:sz w:val="20"/>
              </w:rPr>
              <w:t>145</w:t>
            </w:r>
          </w:p>
        </w:tc>
        <w:tc>
          <w:tcPr>
            <w:vAlign w:val="center"/>
          </w:tcPr>
          <w:p>
            <w:pPr>
              <w:bidi w:val="0"/>
              <w:spacing w:after="0" w:afterAutospacing="1"/>
              <w:jc w:val="right"/>
              <w:rPr>
                <w:b w:val="0"/>
                <w:sz w:val="20"/>
              </w:rPr>
            </w:pPr>
            <w:r>
              <w:rPr>
                <w:b w:val="0"/>
                <w:sz w:val="20"/>
              </w:rPr>
              <w:t>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From Overseas</w:t>
            </w:r>
          </w:p>
        </w:tc>
        <w:tc>
          <w:tcPr>
            <w:vAlign w:val="center"/>
          </w:tcPr>
          <w:p>
            <w:pPr>
              <w:bidi w:val="0"/>
              <w:spacing w:after="0" w:afterAutospacing="1"/>
              <w:jc w:val="right"/>
              <w:rPr>
                <w:b w:val="0"/>
                <w:sz w:val="20"/>
              </w:rPr>
            </w:pPr>
            <w:r>
              <w:rPr>
                <w:b w:val="0"/>
                <w:sz w:val="20"/>
              </w:rPr>
              <w:t>3,604</w:t>
            </w:r>
          </w:p>
        </w:tc>
        <w:tc>
          <w:tcPr>
            <w:vAlign w:val="center"/>
          </w:tcPr>
          <w:p>
            <w:pPr>
              <w:bidi w:val="0"/>
              <w:spacing w:after="0" w:afterAutospacing="1"/>
              <w:jc w:val="left"/>
              <w:rPr>
                <w:b w:val="0"/>
                <w:sz w:val="20"/>
              </w:rPr>
            </w:pPr>
          </w:p>
        </w:tc>
        <w:tc>
          <w:tcPr>
            <w:vAlign w:val="center"/>
          </w:tcPr>
          <w:p>
            <w:pPr>
              <w:bidi w:val="0"/>
              <w:spacing w:after="0" w:afterAutospacing="1"/>
              <w:jc w:val="left"/>
              <w:rPr>
                <w:b w:val="0"/>
                <w:sz w:val="20"/>
              </w:rPr>
            </w:pPr>
          </w:p>
        </w:tc>
      </w:tr>
    </w:tbl>
    <w:p>
      <w:pPr>
        <w:bidi w:val="0"/>
        <w:spacing w:after="0" w:afterAutospacing="1"/>
        <w:rPr>
          <w:rtl w:val="0"/>
        </w:rPr>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