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Redland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Industry sector of employment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Ormiston's industry statistics identify the industry sectors in which the residents work (which may be within the residing area or elsewhere). This will be influenced by the skill base and socio-economic status of the residents as well as the industries and employment opportunities present in the region. </w:t>
      </w:r>
    </w:p>
    <w:p>
      <w:pPr>
        <w:bidi w:val="0"/>
        <w:spacing w:after="280" w:afterAutospacing="1"/>
      </w:pPr>
      <w:r>
        <w:rPr>
          <w:rtl w:val="0"/>
        </w:rPr>
        <w:t xml:space="preserve">When viewed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"residents?[QS]"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Residents Place of Work</w:t>
      </w:r>
      <w:r>
        <w:rPr>
          <w:rtl w:val="0"/>
        </w:rPr>
        <w:fldChar w:fldCharType="end"/>
      </w:r>
      <w:r>
        <w:rPr>
          <w:rtl w:val="0"/>
        </w:rPr>
        <w:t xml:space="preserve"> data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"travel-to-work?[QS]"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Method of Travel to Work</w:t>
      </w:r>
      <w:r>
        <w:rPr>
          <w:rtl w:val="0"/>
        </w:rPr>
        <w:fldChar w:fldCharType="end"/>
      </w:r>
      <w:r>
        <w:rPr>
          <w:rtl w:val="0"/>
        </w:rPr>
        <w:t>, industry sector statistics provide insights into the relationship between the economic and residential role of the area.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Industry sector of employment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Ormiston - Employed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Industry sector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Redland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Redland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Agriculture, Forestry and Fishing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Manufacturing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Electricity, Gas, Water and Waste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Construction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Wholesale trade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Retail Trade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Accommodation and Food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Transport, Postal and Warehousing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Information Media and Telecommunications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Financial and Insurance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Rental, Hiring and Real Estate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Professional, Scientific and Technical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Administrative and Support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Public Administration and Safety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Education and Training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Health Care and Social Assistance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Arts and Recreation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 Services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Inadequately described or 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employed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2,765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+323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422.5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 analysis of the jobs held by the resident population in Ormiston in 2021 shows the three most popular industry sectors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>Health Care and Social Assistance (467 people or 15.1%)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Retail Trade (314 people or 10.2%)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Education and Training (291 people or 9.4%)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In combination, these three industries employed 1,072 people in total or 34.7% of the total employed resident population.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In comparison, Redland City employed 14.7% in Health Care and Social Assistance; 9.9% in Retail Trade; and 8.5% in Education and Training.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jobs held by the population of Ormiston and Redland City were: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employed in professional, scientific and technical services (9.2% compared to 6.1%)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employed in accommodation and food services (6.7% compared to 5.5%)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employed in construction (9.2% compared to 12.3%)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employed in other services (3.0% compared to 4.4%)</w:t>
      </w:r>
    </w:p>
    <w:p w:rsidR="001A6775">
      <w:pPr>
        <w:bidi w:val="0"/>
        <w:spacing w:after="280" w:afterAutospacing="1"/>
      </w:pPr>
      <w:r>
        <w:rPr>
          <w:rtl w:val="0"/>
        </w:rPr>
        <w:t>The number of employed people in Ormiston increased by 323 between 2016 and 2021.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largest change in the jobs held by the resident population between 2016 and 2021 in Ormiston was for those employed in:</w:t>
      </w:r>
    </w:p>
    <w:p>
      <w:pPr>
        <w:numPr>
          <w:ilvl w:val="0"/>
          <w:numId w:val="3"/>
        </w:numPr>
        <w:bidi w:val="0"/>
        <w:spacing w:after="280" w:afterAutospacing="1"/>
        <w:rPr>
          <w:rtl w:val="0"/>
        </w:rPr>
      </w:pPr>
      <w:r>
        <w:rPr>
          <w:rtl w:val="0"/>
        </w:rPr>
        <w:t>Health Care and Social Assistance (+101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