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Redland City Council</w:t>
      </w:r>
    </w:p>
    <w:p w:rsidR="001A6775">
      <w:pPr>
        <w:pStyle w:val="Heading4"/>
        <w:bidi w:val="0"/>
        <w:spacing w:after="280" w:afterAutospacing="1"/>
      </w:pPr>
      <w:r>
        <w:rPr>
          <w:rtl w:val="0"/>
        </w:rPr>
        <w:t>Industry sector of employment</w:t>
      </w:r>
    </w:p>
    <w:p w:rsidR="001A6775">
      <w:pPr>
        <w:bidi w:val="0"/>
        <w:spacing w:after="280" w:afterAutospacing="1"/>
      </w:pPr>
      <w:r>
        <w:rPr>
          <w:rtl w:val="0"/>
        </w:rPr>
        <w:t xml:space="preserve">Alexandra Hills's industry statistics identify the industry sectors in which the residents work (which may be within the residing area or elsewhere). This will be influenced by the skill base and socio-economic status of the residents as well as the industries and employment opportunities present in the region. </w:t>
      </w:r>
    </w:p>
    <w:p>
      <w:pPr>
        <w:bidi w:val="0"/>
        <w:spacing w:after="280" w:afterAutospacing="1"/>
      </w:pPr>
      <w:r>
        <w:rPr>
          <w:rtl w:val="0"/>
        </w:rPr>
        <w:t xml:space="preserve">When viewed in conjunction with </w:t>
      </w:r>
      <w:r>
        <w:rPr>
          <w:rtl w:val="0"/>
        </w:rPr>
        <w:fldChar w:fldCharType="begin"/>
      </w:r>
      <w:r>
        <w:rPr>
          <w:rtl w:val="0"/>
        </w:rPr>
        <w:instrText xml:space="preserve"> HYPERLINK "residents?[QS]" </w:instrText>
      </w:r>
      <w:r>
        <w:rPr>
          <w:rtl w:val="0"/>
        </w:rPr>
        <w:fldChar w:fldCharType="separate"/>
      </w:r>
      <w:r>
        <w:rPr>
          <w:color w:val="0000FF"/>
          <w:u w:val="single"/>
          <w:rtl w:val="0"/>
        </w:rPr>
        <w:t>Residents Place of Work</w:t>
      </w:r>
      <w:r>
        <w:rPr>
          <w:rtl w:val="0"/>
        </w:rPr>
        <w:fldChar w:fldCharType="end"/>
      </w:r>
      <w:r>
        <w:rPr>
          <w:rtl w:val="0"/>
        </w:rPr>
        <w:t xml:space="preserve"> data and </w:t>
      </w:r>
      <w:r>
        <w:rPr>
          <w:rtl w:val="0"/>
        </w:rPr>
        <w:fldChar w:fldCharType="begin"/>
      </w:r>
      <w:r>
        <w:rPr>
          <w:rtl w:val="0"/>
        </w:rPr>
        <w:instrText xml:space="preserve"> HYPERLINK "travel-to-work?[QS]" </w:instrText>
      </w:r>
      <w:r>
        <w:rPr>
          <w:rtl w:val="0"/>
        </w:rPr>
        <w:fldChar w:fldCharType="separate"/>
      </w:r>
      <w:r>
        <w:rPr>
          <w:color w:val="0000FF"/>
          <w:u w:val="single"/>
          <w:rtl w:val="0"/>
        </w:rPr>
        <w:t>Method of Travel to Work</w:t>
      </w:r>
      <w:r>
        <w:rPr>
          <w:rtl w:val="0"/>
        </w:rPr>
        <w:fldChar w:fldCharType="end"/>
      </w:r>
      <w:r>
        <w:rPr>
          <w:rtl w:val="0"/>
        </w:rPr>
        <w:t>, industry sector statistics provide insights into the relationship between the economic and residential role of the area.</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Industry sector of employment</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Alexandra Hills - Employed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Industry sector</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Redland City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Agriculture, Forestry and Fishing</w:t>
            </w:r>
          </w:p>
        </w:tc>
        <w:tc>
          <w:tcPr>
            <w:vAlign w:val="center"/>
          </w:tcPr>
          <w:p w:rsidR="001A6775">
            <w:pPr>
              <w:bidi w:val="0"/>
              <w:spacing w:after="0" w:afterAutospacing="1"/>
              <w:jc w:val="right"/>
              <w:rPr>
                <w:b w:val="0"/>
                <w:sz w:val="20"/>
              </w:rPr>
            </w:pPr>
            <w:r>
              <w:rPr>
                <w:b w:val="0"/>
                <w:sz w:val="20"/>
              </w:rPr>
              <w:t>41</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50</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Mining</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Manufacturing</w:t>
            </w:r>
          </w:p>
        </w:tc>
        <w:tc>
          <w:tcPr>
            <w:vAlign w:val="center"/>
          </w:tcPr>
          <w:p w:rsidR="001A6775">
            <w:pPr>
              <w:bidi w:val="0"/>
              <w:spacing w:after="0" w:afterAutospacing="1"/>
              <w:jc w:val="right"/>
              <w:rPr>
                <w:b w:val="0"/>
                <w:sz w:val="20"/>
              </w:rPr>
            </w:pPr>
            <w:r>
              <w:rPr>
                <w:b w:val="0"/>
                <w:sz w:val="20"/>
              </w:rPr>
              <w:t>664</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696</w:t>
            </w:r>
          </w:p>
        </w:tc>
        <w:tc>
          <w:tcPr>
            <w:vAlign w:val="center"/>
          </w:tcPr>
          <w:p w:rsidR="001A6775">
            <w:pPr>
              <w:bidi w:val="0"/>
              <w:spacing w:after="0" w:afterAutospacing="1"/>
              <w:jc w:val="right"/>
              <w:rPr>
                <w:b w:val="0"/>
                <w:sz w:val="20"/>
              </w:rPr>
            </w:pPr>
            <w:r>
              <w:rPr>
                <w:b w:val="0"/>
                <w:sz w:val="20"/>
              </w:rPr>
              <w:t>8.4</w:t>
            </w:r>
          </w:p>
        </w:tc>
        <w:tc>
          <w:tcPr>
            <w:vAlign w:val="center"/>
          </w:tcPr>
          <w:p w:rsidR="001A6775">
            <w:pPr>
              <w:bidi w:val="0"/>
              <w:spacing w:after="0" w:afterAutospacing="1"/>
              <w:jc w:val="right"/>
              <w:rPr>
                <w:b w:val="0"/>
                <w:sz w:val="20"/>
              </w:rPr>
            </w:pPr>
            <w:r>
              <w:rPr>
                <w:b w:val="0"/>
                <w:sz w:val="20"/>
              </w:rPr>
              <w:t>7.6</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Electricity, Gas, Water and Waste Services</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Construction</w:t>
            </w:r>
          </w:p>
        </w:tc>
        <w:tc>
          <w:tcPr>
            <w:vAlign w:val="center"/>
          </w:tcPr>
          <w:p w:rsidR="001A6775">
            <w:pPr>
              <w:bidi w:val="0"/>
              <w:spacing w:after="0" w:afterAutospacing="1"/>
              <w:jc w:val="right"/>
              <w:rPr>
                <w:b w:val="0"/>
                <w:sz w:val="20"/>
              </w:rPr>
            </w:pPr>
            <w:r>
              <w:rPr>
                <w:b w:val="0"/>
                <w:sz w:val="20"/>
              </w:rPr>
              <w:t>1,048</w:t>
            </w:r>
          </w:p>
        </w:tc>
        <w:tc>
          <w:tcPr>
            <w:vAlign w:val="center"/>
          </w:tcPr>
          <w:p w:rsidR="001A6775">
            <w:pPr>
              <w:bidi w:val="0"/>
              <w:spacing w:after="0" w:afterAutospacing="1"/>
              <w:jc w:val="right"/>
              <w:rPr>
                <w:b w:val="0"/>
                <w:sz w:val="20"/>
              </w:rPr>
            </w:pPr>
            <w:r>
              <w:rPr>
                <w:b w:val="0"/>
                <w:sz w:val="20"/>
              </w:rPr>
              <w:t>12.5</w:t>
            </w:r>
          </w:p>
        </w:tc>
        <w:tc>
          <w:tcPr>
            <w:vAlign w:val="center"/>
          </w:tcPr>
          <w:p w:rsidR="001A6775">
            <w:pPr>
              <w:bidi w:val="0"/>
              <w:spacing w:after="0" w:afterAutospacing="1"/>
              <w:jc w:val="right"/>
              <w:rPr>
                <w:b w:val="0"/>
                <w:sz w:val="20"/>
              </w:rPr>
            </w:pPr>
            <w:r>
              <w:rPr>
                <w:b w:val="0"/>
                <w:sz w:val="20"/>
              </w:rPr>
              <w:t>12.3</w:t>
            </w:r>
          </w:p>
        </w:tc>
        <w:tc>
          <w:tcPr>
            <w:vAlign w:val="center"/>
          </w:tcPr>
          <w:p w:rsidR="001A6775">
            <w:pPr>
              <w:bidi w:val="0"/>
              <w:spacing w:after="0" w:afterAutospacing="1"/>
              <w:jc w:val="right"/>
              <w:rPr>
                <w:b w:val="0"/>
                <w:sz w:val="20"/>
              </w:rPr>
            </w:pPr>
            <w:r>
              <w:rPr>
                <w:b w:val="0"/>
                <w:sz w:val="20"/>
              </w:rPr>
              <w:t>996</w:t>
            </w:r>
          </w:p>
        </w:tc>
        <w:tc>
          <w:tcPr>
            <w:vAlign w:val="center"/>
          </w:tcPr>
          <w:p w:rsidR="001A6775">
            <w:pPr>
              <w:bidi w:val="0"/>
              <w:spacing w:after="0" w:afterAutospacing="1"/>
              <w:jc w:val="right"/>
              <w:rPr>
                <w:b w:val="0"/>
                <w:sz w:val="20"/>
              </w:rPr>
            </w:pPr>
            <w:r>
              <w:rPr>
                <w:b w:val="0"/>
                <w:sz w:val="20"/>
              </w:rPr>
              <w:t>12.0</w:t>
            </w:r>
          </w:p>
        </w:tc>
        <w:tc>
          <w:tcPr>
            <w:vAlign w:val="center"/>
          </w:tcPr>
          <w:p w:rsidR="001A6775">
            <w:pPr>
              <w:bidi w:val="0"/>
              <w:spacing w:after="0" w:afterAutospacing="1"/>
              <w:jc w:val="right"/>
              <w:rPr>
                <w:b w:val="0"/>
                <w:sz w:val="20"/>
              </w:rPr>
            </w:pPr>
            <w:r>
              <w:rPr>
                <w:b w:val="0"/>
                <w:sz w:val="20"/>
              </w:rPr>
              <w:t>11.9</w:t>
            </w:r>
          </w:p>
        </w:tc>
        <w:tc>
          <w:tcPr>
            <w:vAlign w:val="center"/>
          </w:tcPr>
          <w:p w:rsidR="001A6775">
            <w:pPr>
              <w:bidi w:val="0"/>
              <w:spacing w:after="0" w:afterAutospacing="1"/>
              <w:jc w:val="right"/>
              <w:rPr>
                <w:b w:val="0"/>
                <w:sz w:val="20"/>
              </w:rPr>
            </w:pPr>
            <w:r>
              <w:rPr>
                <w:b w:val="0"/>
                <w:sz w:val="20"/>
              </w:rPr>
              <w:t>+52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Wholesale trade</w:t>
            </w:r>
          </w:p>
        </w:tc>
        <w:tc>
          <w:tcPr>
            <w:vAlign w:val="center"/>
          </w:tcPr>
          <w:p w:rsidR="001A6775">
            <w:pPr>
              <w:bidi w:val="0"/>
              <w:spacing w:after="0" w:afterAutospacing="1"/>
              <w:jc w:val="right"/>
              <w:rPr>
                <w:b w:val="0"/>
                <w:sz w:val="20"/>
              </w:rPr>
            </w:pPr>
            <w:r>
              <w:rPr>
                <w:b w:val="0"/>
                <w:sz w:val="20"/>
              </w:rPr>
              <w:t>279</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3.1</w:t>
            </w:r>
          </w:p>
        </w:tc>
        <w:tc>
          <w:tcPr>
            <w:vAlign w:val="center"/>
          </w:tcPr>
          <w:p w:rsidR="001A6775">
            <w:pPr>
              <w:bidi w:val="0"/>
              <w:spacing w:after="0" w:afterAutospacing="1"/>
              <w:jc w:val="right"/>
              <w:rPr>
                <w:b w:val="0"/>
                <w:sz w:val="20"/>
              </w:rPr>
            </w:pPr>
            <w:r>
              <w:rPr>
                <w:b w:val="0"/>
                <w:sz w:val="20"/>
              </w:rPr>
              <w:t>311</w:t>
            </w:r>
          </w:p>
        </w:tc>
        <w:tc>
          <w:tcPr>
            <w:vAlign w:val="center"/>
          </w:tcPr>
          <w:p w:rsidR="001A6775">
            <w:pPr>
              <w:bidi w:val="0"/>
              <w:spacing w:after="0" w:afterAutospacing="1"/>
              <w:jc w:val="right"/>
              <w:rPr>
                <w:b w:val="0"/>
                <w:sz w:val="20"/>
              </w:rPr>
            </w:pPr>
            <w:r>
              <w:rPr>
                <w:b w:val="0"/>
                <w:sz w:val="20"/>
              </w:rPr>
              <w:t>3.7</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Retail Trade</w:t>
            </w:r>
          </w:p>
        </w:tc>
        <w:tc>
          <w:tcPr>
            <w:vAlign w:val="center"/>
          </w:tcPr>
          <w:p w:rsidR="001A6775">
            <w:pPr>
              <w:bidi w:val="0"/>
              <w:spacing w:after="0" w:afterAutospacing="1"/>
              <w:jc w:val="right"/>
              <w:rPr>
                <w:b w:val="0"/>
                <w:sz w:val="20"/>
              </w:rPr>
            </w:pPr>
            <w:r>
              <w:rPr>
                <w:b w:val="0"/>
                <w:sz w:val="20"/>
              </w:rPr>
              <w:t>888</w:t>
            </w:r>
          </w:p>
        </w:tc>
        <w:tc>
          <w:tcPr>
            <w:vAlign w:val="center"/>
          </w:tcPr>
          <w:p w:rsidR="001A6775">
            <w:pPr>
              <w:bidi w:val="0"/>
              <w:spacing w:after="0" w:afterAutospacing="1"/>
              <w:jc w:val="right"/>
              <w:rPr>
                <w:b w:val="0"/>
                <w:sz w:val="20"/>
              </w:rPr>
            </w:pPr>
            <w:r>
              <w:rPr>
                <w:b w:val="0"/>
                <w:sz w:val="20"/>
              </w:rPr>
              <w:t>10.6</w:t>
            </w:r>
          </w:p>
        </w:tc>
        <w:tc>
          <w:tcPr>
            <w:vAlign w:val="center"/>
          </w:tcPr>
          <w:p w:rsidR="001A6775">
            <w:pPr>
              <w:bidi w:val="0"/>
              <w:spacing w:after="0" w:afterAutospacing="1"/>
              <w:jc w:val="right"/>
              <w:rPr>
                <w:b w:val="0"/>
                <w:sz w:val="20"/>
              </w:rPr>
            </w:pPr>
            <w:r>
              <w:rPr>
                <w:b w:val="0"/>
                <w:sz w:val="20"/>
              </w:rPr>
              <w:t>9.9</w:t>
            </w:r>
          </w:p>
        </w:tc>
        <w:tc>
          <w:tcPr>
            <w:vAlign w:val="center"/>
          </w:tcPr>
          <w:p w:rsidR="001A6775">
            <w:pPr>
              <w:bidi w:val="0"/>
              <w:spacing w:after="0" w:afterAutospacing="1"/>
              <w:jc w:val="right"/>
              <w:rPr>
                <w:b w:val="0"/>
                <w:sz w:val="20"/>
              </w:rPr>
            </w:pPr>
            <w:r>
              <w:rPr>
                <w:b w:val="0"/>
                <w:sz w:val="20"/>
              </w:rPr>
              <w:t>909</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Accommodation and Food Services</w:t>
            </w:r>
          </w:p>
        </w:tc>
        <w:tc>
          <w:tcPr>
            <w:vAlign w:val="center"/>
          </w:tcPr>
          <w:p w:rsidR="001A6775">
            <w:pPr>
              <w:bidi w:val="0"/>
              <w:spacing w:after="0" w:afterAutospacing="1"/>
              <w:jc w:val="right"/>
              <w:rPr>
                <w:b w:val="0"/>
                <w:sz w:val="20"/>
              </w:rPr>
            </w:pPr>
            <w:r>
              <w:rPr>
                <w:b w:val="0"/>
                <w:sz w:val="20"/>
              </w:rPr>
              <w:t>450</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459</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Transport, Postal and Warehousing</w:t>
            </w:r>
          </w:p>
        </w:tc>
        <w:tc>
          <w:tcPr>
            <w:vAlign w:val="center"/>
          </w:tcPr>
          <w:p w:rsidR="001A6775">
            <w:pPr>
              <w:bidi w:val="0"/>
              <w:spacing w:after="0" w:afterAutospacing="1"/>
              <w:jc w:val="right"/>
              <w:rPr>
                <w:b w:val="0"/>
                <w:sz w:val="20"/>
              </w:rPr>
            </w:pPr>
            <w:r>
              <w:rPr>
                <w:b w:val="0"/>
                <w:sz w:val="20"/>
              </w:rPr>
              <w:t>504</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513</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5.9</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Information Media and Telecommunications</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-24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Financial and Insurance Services</w:t>
            </w:r>
          </w:p>
        </w:tc>
        <w:tc>
          <w:tcPr>
            <w:vAlign w:val="center"/>
          </w:tcPr>
          <w:p w:rsidR="001A6775">
            <w:pPr>
              <w:bidi w:val="0"/>
              <w:spacing w:after="0" w:afterAutospacing="1"/>
              <w:jc w:val="right"/>
              <w:rPr>
                <w:b w:val="0"/>
                <w:sz w:val="20"/>
              </w:rPr>
            </w:pPr>
            <w:r>
              <w:rPr>
                <w:b w:val="0"/>
                <w:sz w:val="20"/>
              </w:rPr>
              <w:t>170</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192</w:t>
            </w:r>
          </w:p>
        </w:tc>
        <w:tc>
          <w:tcPr>
            <w:vAlign w:val="center"/>
          </w:tcPr>
          <w:p w:rsidR="001A6775">
            <w:pPr>
              <w:bidi w:val="0"/>
              <w:spacing w:after="0" w:afterAutospacing="1"/>
              <w:jc w:val="right"/>
              <w:rPr>
                <w:b w:val="0"/>
                <w:sz w:val="20"/>
              </w:rPr>
            </w:pPr>
            <w:r>
              <w:rPr>
                <w:b w:val="0"/>
                <w:sz w:val="20"/>
              </w:rPr>
              <w:t>2.3</w:t>
            </w:r>
          </w:p>
        </w:tc>
        <w:tc>
          <w:tcPr>
            <w:vAlign w:val="center"/>
          </w:tcPr>
          <w:p w:rsidR="001A6775">
            <w:pPr>
              <w:bidi w:val="0"/>
              <w:spacing w:after="0" w:afterAutospacing="1"/>
              <w:jc w:val="right"/>
              <w:rPr>
                <w:b w:val="0"/>
                <w:sz w:val="20"/>
              </w:rPr>
            </w:pPr>
            <w:r>
              <w:rPr>
                <w:b w:val="0"/>
                <w:sz w:val="20"/>
              </w:rPr>
              <w:t>2.7</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Rental, Hiring and Real Estate Services</w:t>
            </w:r>
          </w:p>
        </w:tc>
        <w:tc>
          <w:tcPr>
            <w:vAlign w:val="center"/>
          </w:tcPr>
          <w:p w:rsidR="001A6775">
            <w:pPr>
              <w:bidi w:val="0"/>
              <w:spacing w:after="0" w:afterAutospacing="1"/>
              <w:jc w:val="right"/>
              <w:rPr>
                <w:b w:val="0"/>
                <w:sz w:val="20"/>
              </w:rPr>
            </w:pPr>
            <w:r>
              <w:rPr>
                <w:b w:val="0"/>
                <w:sz w:val="20"/>
              </w:rPr>
              <w:t>114</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Professional, Scientific and Technical Services</w:t>
            </w:r>
          </w:p>
        </w:tc>
        <w:tc>
          <w:tcPr>
            <w:vAlign w:val="center"/>
          </w:tcPr>
          <w:p w:rsidR="001A6775">
            <w:pPr>
              <w:bidi w:val="0"/>
              <w:spacing w:after="0" w:afterAutospacing="1"/>
              <w:jc w:val="right"/>
              <w:rPr>
                <w:b w:val="0"/>
                <w:sz w:val="20"/>
              </w:rPr>
            </w:pPr>
            <w:r>
              <w:rPr>
                <w:b w:val="0"/>
                <w:sz w:val="20"/>
              </w:rPr>
              <w:t>437</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6.1</w:t>
            </w:r>
          </w:p>
        </w:tc>
        <w:tc>
          <w:tcPr>
            <w:vAlign w:val="center"/>
          </w:tcPr>
          <w:p w:rsidR="001A6775">
            <w:pPr>
              <w:bidi w:val="0"/>
              <w:spacing w:after="0" w:afterAutospacing="1"/>
              <w:jc w:val="right"/>
              <w:rPr>
                <w:b w:val="0"/>
                <w:sz w:val="20"/>
              </w:rPr>
            </w:pPr>
            <w:r>
              <w:rPr>
                <w:b w:val="0"/>
                <w:sz w:val="20"/>
              </w:rPr>
              <w:t>410</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+27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Administrative and Support Services</w:t>
            </w:r>
          </w:p>
        </w:tc>
        <w:tc>
          <w:tcPr>
            <w:vAlign w:val="center"/>
          </w:tcPr>
          <w:p w:rsidR="001A6775">
            <w:pPr>
              <w:bidi w:val="0"/>
              <w:spacing w:after="0" w:afterAutospacing="1"/>
              <w:jc w:val="right"/>
              <w:rPr>
                <w:b w:val="0"/>
                <w:sz w:val="20"/>
              </w:rPr>
            </w:pPr>
            <w:r>
              <w:rPr>
                <w:b w:val="0"/>
                <w:sz w:val="20"/>
              </w:rPr>
              <w:t>280</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3.4</w:t>
            </w:r>
          </w:p>
        </w:tc>
        <w:tc>
          <w:tcPr>
            <w:vAlign w:val="center"/>
          </w:tcPr>
          <w:p w:rsidR="001A6775">
            <w:pPr>
              <w:bidi w:val="0"/>
              <w:spacing w:after="0" w:afterAutospacing="1"/>
              <w:jc w:val="right"/>
              <w:rPr>
                <w:b w:val="0"/>
                <w:sz w:val="20"/>
              </w:rPr>
            </w:pPr>
            <w:r>
              <w:rPr>
                <w:b w:val="0"/>
                <w:sz w:val="20"/>
              </w:rPr>
              <w:t>275</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Public Administration and Safety</w:t>
            </w:r>
          </w:p>
        </w:tc>
        <w:tc>
          <w:tcPr>
            <w:vAlign w:val="center"/>
          </w:tcPr>
          <w:p w:rsidR="001A6775">
            <w:pPr>
              <w:bidi w:val="0"/>
              <w:spacing w:after="0" w:afterAutospacing="1"/>
              <w:jc w:val="right"/>
              <w:rPr>
                <w:b w:val="0"/>
                <w:sz w:val="20"/>
              </w:rPr>
            </w:pPr>
            <w:r>
              <w:rPr>
                <w:b w:val="0"/>
                <w:sz w:val="20"/>
              </w:rPr>
              <w:t>480</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472</w:t>
            </w:r>
          </w:p>
        </w:tc>
        <w:tc>
          <w:tcPr>
            <w:vAlign w:val="center"/>
          </w:tcPr>
          <w:p w:rsidR="001A6775">
            <w:pPr>
              <w:bidi w:val="0"/>
              <w:spacing w:after="0" w:afterAutospacing="1"/>
              <w:jc w:val="right"/>
              <w:rPr>
                <w:b w:val="0"/>
                <w:sz w:val="20"/>
              </w:rPr>
            </w:pPr>
            <w:r>
              <w:rPr>
                <w:b w:val="0"/>
                <w:sz w:val="20"/>
              </w:rPr>
              <w:t>5.7</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Education and Training</w:t>
            </w:r>
          </w:p>
        </w:tc>
        <w:tc>
          <w:tcPr>
            <w:vAlign w:val="center"/>
          </w:tcPr>
          <w:p w:rsidR="001A6775">
            <w:pPr>
              <w:bidi w:val="0"/>
              <w:spacing w:after="0" w:afterAutospacing="1"/>
              <w:jc w:val="right"/>
              <w:rPr>
                <w:b w:val="0"/>
                <w:sz w:val="20"/>
              </w:rPr>
            </w:pPr>
            <w:r>
              <w:rPr>
                <w:b w:val="0"/>
                <w:sz w:val="20"/>
              </w:rPr>
              <w:t>605</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8.5</w:t>
            </w:r>
          </w:p>
        </w:tc>
        <w:tc>
          <w:tcPr>
            <w:vAlign w:val="center"/>
          </w:tcPr>
          <w:p w:rsidR="001A6775">
            <w:pPr>
              <w:bidi w:val="0"/>
              <w:spacing w:after="0" w:afterAutospacing="1"/>
              <w:jc w:val="right"/>
              <w:rPr>
                <w:b w:val="0"/>
                <w:sz w:val="20"/>
              </w:rPr>
            </w:pPr>
            <w:r>
              <w:rPr>
                <w:b w:val="0"/>
                <w:sz w:val="20"/>
              </w:rPr>
              <w:t>600</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Health Care and Social Assistance</w:t>
            </w:r>
          </w:p>
        </w:tc>
        <w:tc>
          <w:tcPr>
            <w:vAlign w:val="center"/>
          </w:tcPr>
          <w:p w:rsidR="001A6775">
            <w:pPr>
              <w:bidi w:val="0"/>
              <w:spacing w:after="0" w:afterAutospacing="1"/>
              <w:jc w:val="right"/>
              <w:rPr>
                <w:b w:val="0"/>
                <w:sz w:val="20"/>
              </w:rPr>
            </w:pPr>
            <w:r>
              <w:rPr>
                <w:b w:val="0"/>
                <w:sz w:val="20"/>
              </w:rPr>
              <w:t>1,300</w:t>
            </w:r>
          </w:p>
        </w:tc>
        <w:tc>
          <w:tcPr>
            <w:vAlign w:val="center"/>
          </w:tcPr>
          <w:p w:rsidR="001A6775">
            <w:pPr>
              <w:bidi w:val="0"/>
              <w:spacing w:after="0" w:afterAutospacing="1"/>
              <w:jc w:val="right"/>
              <w:rPr>
                <w:b w:val="0"/>
                <w:sz w:val="20"/>
              </w:rPr>
            </w:pPr>
            <w:r>
              <w:rPr>
                <w:b w:val="0"/>
                <w:sz w:val="20"/>
              </w:rPr>
              <w:t>15.5</w:t>
            </w:r>
          </w:p>
        </w:tc>
        <w:tc>
          <w:tcPr>
            <w:vAlign w:val="center"/>
          </w:tcPr>
          <w:p w:rsidR="001A6775">
            <w:pPr>
              <w:bidi w:val="0"/>
              <w:spacing w:after="0" w:afterAutospacing="1"/>
              <w:jc w:val="right"/>
              <w:rPr>
                <w:b w:val="0"/>
                <w:sz w:val="20"/>
              </w:rPr>
            </w:pPr>
            <w:r>
              <w:rPr>
                <w:b w:val="0"/>
                <w:sz w:val="20"/>
              </w:rPr>
              <w:t>14.7</w:t>
            </w:r>
          </w:p>
        </w:tc>
        <w:tc>
          <w:tcPr>
            <w:vAlign w:val="center"/>
          </w:tcPr>
          <w:p w:rsidR="001A6775">
            <w:pPr>
              <w:bidi w:val="0"/>
              <w:spacing w:after="0" w:afterAutospacing="1"/>
              <w:jc w:val="right"/>
              <w:rPr>
                <w:b w:val="0"/>
                <w:sz w:val="20"/>
              </w:rPr>
            </w:pPr>
            <w:r>
              <w:rPr>
                <w:b w:val="0"/>
                <w:sz w:val="20"/>
              </w:rPr>
              <w:t>1,156</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12.6</w:t>
            </w:r>
          </w:p>
        </w:tc>
        <w:tc>
          <w:tcPr>
            <w:vAlign w:val="center"/>
          </w:tcPr>
          <w:p w:rsidR="001A6775">
            <w:pPr>
              <w:bidi w:val="0"/>
              <w:spacing w:after="0" w:afterAutospacing="1"/>
              <w:jc w:val="right"/>
              <w:rPr>
                <w:b w:val="0"/>
                <w:sz w:val="20"/>
              </w:rPr>
            </w:pPr>
            <w:r>
              <w:rPr>
                <w:b w:val="0"/>
                <w:sz w:val="20"/>
              </w:rPr>
              <w:t>+144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Arts and Recreation Services</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118</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Services</w:t>
            </w:r>
          </w:p>
        </w:tc>
        <w:tc>
          <w:tcPr>
            <w:vAlign w:val="center"/>
          </w:tcPr>
          <w:p w:rsidR="001A6775">
            <w:pPr>
              <w:bidi w:val="0"/>
              <w:spacing w:after="0" w:afterAutospacing="1"/>
              <w:jc w:val="right"/>
              <w:rPr>
                <w:b w:val="0"/>
                <w:sz w:val="20"/>
              </w:rPr>
            </w:pPr>
            <w:r>
              <w:rPr>
                <w:b w:val="0"/>
                <w:sz w:val="20"/>
              </w:rPr>
              <w:t>438</w:t>
            </w:r>
          </w:p>
        </w:tc>
        <w:tc>
          <w:tcPr>
            <w:vAlign w:val="center"/>
          </w:tcPr>
          <w:p w:rsidR="001A6775">
            <w:pPr>
              <w:bidi w:val="0"/>
              <w:spacing w:after="0" w:afterAutospacing="1"/>
              <w:jc w:val="right"/>
              <w:rPr>
                <w:b w:val="0"/>
                <w:sz w:val="20"/>
              </w:rPr>
            </w:pPr>
            <w:r>
              <w:rPr>
                <w:b w:val="0"/>
                <w:sz w:val="20"/>
              </w:rPr>
              <w:t>5.2</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409</w:t>
            </w:r>
          </w:p>
        </w:tc>
        <w:tc>
          <w:tcPr>
            <w:vAlign w:val="center"/>
          </w:tcPr>
          <w:p w:rsidR="001A6775">
            <w:pPr>
              <w:bidi w:val="0"/>
              <w:spacing w:after="0" w:afterAutospacing="1"/>
              <w:jc w:val="right"/>
              <w:rPr>
                <w:b w:val="0"/>
                <w:sz w:val="20"/>
              </w:rPr>
            </w:pPr>
            <w:r>
              <w:rPr>
                <w:b w:val="0"/>
                <w:sz w:val="20"/>
              </w:rPr>
              <w:t>4.9</w:t>
            </w:r>
          </w:p>
        </w:tc>
        <w:tc>
          <w:tcPr>
            <w:vAlign w:val="center"/>
          </w:tcPr>
          <w:p w:rsidR="001A6775">
            <w:pPr>
              <w:bidi w:val="0"/>
              <w:spacing w:after="0" w:afterAutospacing="1"/>
              <w:jc w:val="right"/>
              <w:rPr>
                <w:b w:val="0"/>
                <w:sz w:val="20"/>
              </w:rPr>
            </w:pPr>
            <w:r>
              <w:rPr>
                <w:b w:val="0"/>
                <w:sz w:val="20"/>
              </w:rPr>
              <w:t>4.3</w:t>
            </w:r>
          </w:p>
        </w:tc>
        <w:tc>
          <w:tcPr>
            <w:vAlign w:val="center"/>
          </w:tcPr>
          <w:p w:rsidR="001A6775">
            <w:pPr>
              <w:bidi w:val="0"/>
              <w:spacing w:after="0" w:afterAutospacing="1"/>
              <w:jc w:val="right"/>
              <w:rPr>
                <w:b w:val="0"/>
                <w:sz w:val="20"/>
              </w:rPr>
            </w:pPr>
            <w:r>
              <w:rPr>
                <w:b w:val="0"/>
                <w:sz w:val="20"/>
              </w:rPr>
              <w:t>+29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Inadequately described or not stated</w:t>
            </w:r>
          </w:p>
        </w:tc>
        <w:tc>
          <w:tcPr>
            <w:vAlign w:val="center"/>
          </w:tcPr>
          <w:p w:rsidR="001A6775">
            <w:pPr>
              <w:bidi w:val="0"/>
              <w:spacing w:after="0" w:afterAutospacing="1"/>
              <w:jc w:val="right"/>
              <w:rPr>
                <w:b w:val="0"/>
                <w:sz w:val="20"/>
              </w:rPr>
            </w:pPr>
            <w:r>
              <w:rPr>
                <w:b w:val="0"/>
                <w:sz w:val="20"/>
              </w:rPr>
              <w:t>377</w:t>
            </w:r>
          </w:p>
        </w:tc>
        <w:tc>
          <w:tcPr>
            <w:vAlign w:val="center"/>
          </w:tcPr>
          <w:p w:rsidR="001A6775">
            <w:pPr>
              <w:bidi w:val="0"/>
              <w:spacing w:after="0" w:afterAutospacing="1"/>
              <w:jc w:val="right"/>
              <w:rPr>
                <w:b w:val="0"/>
                <w:sz w:val="20"/>
              </w:rPr>
            </w:pPr>
            <w:r>
              <w:rPr>
                <w:b w:val="0"/>
                <w:sz w:val="20"/>
              </w:rPr>
              <w:t>4.5</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384</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4.4</w:t>
            </w:r>
          </w:p>
        </w:tc>
        <w:tc>
          <w:tcPr>
            <w:vAlign w:val="center"/>
          </w:tcPr>
          <w:p w:rsidR="001A6775">
            <w:pPr>
              <w:bidi w:val="0"/>
              <w:spacing w:after="0" w:afterAutospacing="1"/>
              <w:jc w:val="right"/>
              <w:rPr>
                <w:b w:val="0"/>
                <w:sz w:val="20"/>
              </w:rPr>
            </w:pPr>
            <w:r>
              <w:rPr>
                <w:b w:val="0"/>
                <w:sz w:val="20"/>
              </w:rPr>
              <w:t>-7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employed persons aged 15+</w:t>
            </w:r>
          </w:p>
        </w:tc>
        <w:tc>
          <w:tcPr>
            <w:vAlign w:val="center"/>
          </w:tcPr>
          <w:p w:rsidR="001A6775">
            <w:pPr>
              <w:bidi w:val="0"/>
              <w:spacing w:after="0" w:afterAutospacing="1"/>
              <w:jc w:val="right"/>
              <w:rPr>
                <w:b/>
                <w:sz w:val="20"/>
              </w:rPr>
            </w:pPr>
            <w:r>
              <w:rPr>
                <w:b/>
                <w:sz w:val="20"/>
              </w:rPr>
              <w:t>8,398</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8,331</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+67</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422.5pt;width:481pt">
            <v:imagedata r:id="rId6" o:title=""/>
          </v:shape>
        </w:pict>
      </w:r>
    </w:p>
    <w:p w:rsidR="001A6775">
      <w:pPr>
        <w:bidi w:val="0"/>
        <w:spacing w:after="280" w:afterAutospacing="1"/>
      </w:pPr>
      <w:r>
        <w:rPr>
          <w:rtl w:val="0"/>
        </w:rPr>
        <w:t>An analysis of the jobs held by the resident population in Alexandra Hills in 2021 shows the three most popular industry sectors were:</w:t>
      </w:r>
    </w:p>
    <w:p>
      <w:pPr>
        <w:numPr>
          <w:ilvl w:val="0"/>
          <w:numId w:val="1"/>
        </w:numPr>
        <w:bidi w:val="0"/>
        <w:spacing w:after="0" w:afterAutospacing="0"/>
        <w:rPr>
          <w:rtl w:val="0"/>
        </w:rPr>
      </w:pPr>
      <w:r>
        <w:rPr>
          <w:rtl w:val="0"/>
        </w:rPr>
        <w:t>Health Care and Social Assistance (1,300 people or 15.5%)</w:t>
      </w:r>
    </w:p>
    <w:p>
      <w:pPr>
        <w:numPr>
          <w:ilvl w:val="0"/>
          <w:numId w:val="1"/>
        </w:numPr>
        <w:bidi w:val="0"/>
        <w:spacing w:after="0" w:afterAutospacing="0"/>
        <w:ind w:left="720"/>
        <w:rPr>
          <w:rtl w:val="0"/>
        </w:rPr>
      </w:pPr>
      <w:r>
        <w:rPr>
          <w:rtl w:val="0"/>
        </w:rPr>
        <w:t>Construction (1,048 people or 12.5%)</w:t>
      </w:r>
    </w:p>
    <w:p>
      <w:pPr>
        <w:numPr>
          <w:ilvl w:val="0"/>
          <w:numId w:val="1"/>
        </w:numPr>
        <w:bidi w:val="0"/>
        <w:spacing w:after="280" w:afterAutospacing="1"/>
        <w:ind w:left="720"/>
        <w:rPr>
          <w:rtl w:val="0"/>
        </w:rPr>
      </w:pPr>
      <w:r>
        <w:rPr>
          <w:rtl w:val="0"/>
        </w:rPr>
        <w:t>Retail Trade (888 people or 10.6%)</w:t>
      </w:r>
    </w:p>
    <w:p>
      <w:pPr>
        <w:bidi w:val="0"/>
        <w:spacing w:after="280" w:afterAutospacing="1"/>
        <w:rPr>
          <w:rtl w:val="0"/>
        </w:rPr>
      </w:pPr>
      <w:r>
        <w:rPr>
          <w:rtl w:val="0"/>
        </w:rPr>
        <w:t>In combination, these three industries employed 3,236 people in total or 38.5% of the total employed resident population.</w:t>
      </w:r>
    </w:p>
    <w:p>
      <w:pPr>
        <w:bidi w:val="0"/>
        <w:spacing w:after="280" w:afterAutospacing="1"/>
        <w:rPr>
          <w:rtl w:val="0"/>
        </w:rPr>
      </w:pPr>
      <w:r>
        <w:rPr>
          <w:rtl w:val="0"/>
        </w:rPr>
        <w:t>In comparison, Redland City employed 14.7% in Health Care and Social Assistance; 12.3% in Construction; and 9.9% in Retail Trade.</w:t>
      </w:r>
    </w:p>
    <w:p>
      <w:pPr>
        <w:bidi w:val="0"/>
        <w:spacing w:after="280" w:afterAutospacing="1"/>
        <w:rPr>
          <w:rtl w:val="0"/>
        </w:rPr>
      </w:pPr>
      <w:r>
        <w:rPr>
          <w:rtl w:val="0"/>
        </w:rPr>
        <w:t>The major difference between the jobs held by the population of Alexandra Hills and Redland City was:</w:t>
      </w:r>
    </w:p>
    <w:p>
      <w:pPr>
        <w:numPr>
          <w:ilvl w:val="0"/>
          <w:numId w:val="2"/>
        </w:numPr>
        <w:bidi w:val="0"/>
        <w:spacing w:after="280" w:afterAutospacing="1"/>
        <w:rPr>
          <w:rtl w:val="0"/>
        </w:rPr>
      </w:pPr>
      <w:r>
        <w:rPr>
          <w:rtl w:val="0"/>
        </w:rPr>
        <w:t xml:space="preserve">A </w:t>
      </w:r>
      <w:r>
        <w:rPr>
          <w:i/>
          <w:iCs/>
          <w:rtl w:val="0"/>
        </w:rPr>
        <w:t>smaller</w:t>
      </w:r>
      <w:r>
        <w:rPr>
          <w:rtl w:val="0"/>
        </w:rPr>
        <w:t xml:space="preserve"> percentage of persons employed in education and training (7.2% compared to 8.5%)</w:t>
      </w:r>
    </w:p>
    <w:p w:rsidR="001A6775">
      <w:pPr>
        <w:bidi w:val="0"/>
        <w:spacing w:after="280" w:afterAutospacing="1"/>
      </w:pPr>
      <w:r>
        <w:rPr>
          <w:rtl w:val="0"/>
        </w:rPr>
        <w:t>The number of employed people in Alexandra Hills increased by 67 between 2016 and 2021.</w:t>
      </w:r>
    </w:p>
    <w:p>
      <w:pPr>
        <w:bidi w:val="0"/>
        <w:spacing w:after="280" w:afterAutospacing="1"/>
        <w:rPr>
          <w:rtl w:val="0"/>
        </w:rPr>
      </w:pPr>
      <w:r>
        <w:rPr>
          <w:rtl w:val="0"/>
        </w:rPr>
        <w:t>The largest changes in the jobs held by the resident population between 2016 and 2021 in Alexandra Hills were for those employed in:</w:t>
      </w:r>
    </w:p>
    <w:p>
      <w:pPr>
        <w:numPr>
          <w:ilvl w:val="0"/>
          <w:numId w:val="3"/>
        </w:numPr>
        <w:bidi w:val="0"/>
        <w:spacing w:after="0" w:afterAutospacing="0"/>
        <w:rPr>
          <w:rtl w:val="0"/>
        </w:rPr>
      </w:pPr>
      <w:r>
        <w:rPr>
          <w:rtl w:val="0"/>
        </w:rPr>
        <w:t>Health Care and Social Assistance (+144 persons)</w:t>
      </w:r>
    </w:p>
    <w:p>
      <w:pPr>
        <w:numPr>
          <w:ilvl w:val="0"/>
          <w:numId w:val="3"/>
        </w:numPr>
        <w:bidi w:val="0"/>
        <w:spacing w:after="280" w:afterAutospacing="1"/>
        <w:ind w:left="720"/>
        <w:rPr>
          <w:rtl w:val="0"/>
        </w:rPr>
      </w:pPr>
      <w:r>
        <w:rPr>
          <w:rtl w:val="0"/>
        </w:rPr>
        <w:t>Construction (+52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