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Penrith City Council</w:t>
      </w:r>
    </w:p>
    <w:p w:rsidR="001A6775">
      <w:pPr>
        <w:pStyle w:val="Heading4"/>
        <w:bidi w:val="0"/>
        <w:spacing w:after="280" w:afterAutospacing="1"/>
      </w:pPr>
      <w:r>
        <w:rPr>
          <w:rtl w:val="0"/>
        </w:rPr>
        <w:t>Estimated Resident Population (ERP)</w:t>
      </w:r>
    </w:p>
    <w:p w:rsidR="001A6775">
      <w:pPr>
        <w:bidi w:val="0"/>
        <w:spacing w:after="280" w:afterAutospacing="1"/>
      </w:pPr>
      <w:r>
        <w:rPr>
          <w:rtl w:val="0"/>
        </w:rPr>
        <w:t>The Estimated Resident Population (ERP) is the Australian Bureau of Statistics' official 2023 population figure for all Local Government Areas (LGAs) - but is subject to review after the next Census release. For areas smaller than LGAs, the ERP is derived from SA1 geographies based on population distribution from the previous Census. As such, these smaller geographies are subject to a greater level of revision each Census due to the change in actual numbers and in population distributions.</w:t>
      </w:r>
    </w:p>
    <w:p>
      <w:pPr>
        <w:bidi w:val="0"/>
        <w:spacing w:after="280" w:afterAutospacing="1"/>
        <w:rPr>
          <w:rtl w:val="0"/>
        </w:rPr>
      </w:pPr>
      <w:r>
        <w:rPr>
          <w:rtl w:val="0"/>
        </w:rPr>
        <w:t>Populations are counted and estimated in various ways. The most comprehensive population count available in Australia is derived from the Census of Population and Housing conducted by the Australian Bureau of Statistics every five years. However the Census count is generally an under-estimate of the actual population, due to people missed in the Census and people overseas on Census night. To provide a more accurate population figure more frequently, the ABS also produces ERP numbers.</w:t>
      </w:r>
    </w:p>
    <w:p>
      <w:pPr>
        <w:bidi w:val="0"/>
        <w:spacing w:after="280" w:afterAutospacing="1"/>
        <w:rPr>
          <w:rtl w:val="0"/>
        </w:rPr>
      </w:pPr>
      <w:r>
        <w:rPr>
          <w:rtl w:val="0"/>
        </w:rPr>
        <w:t xml:space="preserve">See </w:t>
      </w:r>
      <w:r>
        <w:rPr>
          <w:rtl w:val="0"/>
        </w:rPr>
        <w:fldChar w:fldCharType="begin"/>
      </w:r>
      <w:r>
        <w:rPr>
          <w:rtl w:val="0"/>
        </w:rPr>
        <w:instrText xml:space="preserve"> HYPERLINK "population-types?[QS]" </w:instrText>
      </w:r>
      <w:r>
        <w:rPr>
          <w:rtl w:val="0"/>
        </w:rPr>
        <w:fldChar w:fldCharType="separate"/>
      </w:r>
      <w:r>
        <w:rPr>
          <w:color w:val="0000FF"/>
          <w:u w:val="single"/>
          <w:rtl w:val="0"/>
        </w:rPr>
        <w:t>data notes</w:t>
      </w:r>
      <w:r>
        <w:rPr>
          <w:rtl w:val="0"/>
        </w:rPr>
        <w:fldChar w:fldCharType="end"/>
      </w:r>
      <w:r>
        <w:rPr>
          <w:rtl w:val="0"/>
        </w:rPr>
        <w:t xml:space="preserve"> for a detailed explanation of different population types, how they are calculated and when to use each one.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Estimated Resident Population (ERP)</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p>
        </w:tc>
        <w:tc>
          <w:tcPr>
            <w:hMerge w:val="restart"/>
          </w:tcPr>
          <w:p w:rsidR="001A6775">
            <w:pPr>
              <w:bidi w:val="0"/>
              <w:spacing w:after="0" w:afterAutospacing="1"/>
              <w:jc w:val="center"/>
              <w:rPr>
                <w:b/>
                <w:sz w:val="2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Year (ending June 30)</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Change in number</w:t>
            </w:r>
          </w:p>
        </w:tc>
        <w:tc>
          <w:tcPr>
            <w:vAlign w:val="center"/>
          </w:tcPr>
          <w:p w:rsidR="001A6775">
            <w:pPr>
              <w:bidi w:val="0"/>
              <w:spacing w:after="0" w:afterAutospacing="1"/>
              <w:jc w:val="right"/>
              <w:rPr>
                <w:b/>
                <w:sz w:val="20"/>
              </w:rPr>
            </w:pPr>
            <w:r>
              <w:rPr>
                <w:b/>
                <w:sz w:val="20"/>
              </w:rPr>
              <w:t>Change in percent</w:t>
            </w:r>
          </w:p>
        </w:tc>
        <w:tc>
          <w:tcPr>
            <w:vAlign w:val="center"/>
          </w:tcPr>
          <w:p w:rsidR="001A6775">
            <w:pPr>
              <w:bidi w:val="0"/>
              <w:spacing w:after="0" w:afterAutospacing="1"/>
              <w:jc w:val="right"/>
              <w:rPr>
                <w:b/>
                <w:sz w:val="20"/>
              </w:rPr>
            </w:pPr>
            <w:r>
              <w:rPr>
                <w:b/>
                <w:sz w:val="20"/>
              </w:rPr>
              <w:t>Penrith City change in percent</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2017</w:t>
            </w:r>
          </w:p>
        </w:tc>
        <w:tc>
          <w:tcPr>
            <w:vAlign w:val="center"/>
          </w:tcPr>
          <w:p w:rsidR="001A6775">
            <w:pPr>
              <w:bidi w:val="0"/>
              <w:spacing w:after="0" w:afterAutospacing="1"/>
              <w:jc w:val="right"/>
              <w:rPr>
                <w:b w:val="0"/>
                <w:sz w:val="20"/>
              </w:rPr>
            </w:pPr>
            <w:r>
              <w:rPr>
                <w:b w:val="0"/>
                <w:sz w:val="20"/>
              </w:rPr>
              <w:t>1,680</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2018</w:t>
            </w:r>
          </w:p>
        </w:tc>
        <w:tc>
          <w:tcPr>
            <w:vAlign w:val="center"/>
          </w:tcPr>
          <w:p w:rsidR="001A6775">
            <w:pPr>
              <w:bidi w:val="0"/>
              <w:spacing w:after="0" w:afterAutospacing="1"/>
              <w:jc w:val="right"/>
              <w:rPr>
                <w:b w:val="0"/>
                <w:sz w:val="20"/>
              </w:rPr>
            </w:pPr>
            <w:r>
              <w:rPr>
                <w:b w:val="0"/>
                <w:sz w:val="20"/>
              </w:rPr>
              <w:t>1,765</w:t>
            </w:r>
          </w:p>
        </w:tc>
        <w:tc>
          <w:tcPr>
            <w:vAlign w:val="center"/>
          </w:tcPr>
          <w:p w:rsidR="001A6775">
            <w:pPr>
              <w:bidi w:val="0"/>
              <w:spacing w:after="0" w:afterAutospacing="1"/>
              <w:jc w:val="right"/>
              <w:rPr>
                <w:b w:val="0"/>
                <w:sz w:val="20"/>
              </w:rPr>
            </w:pPr>
            <w:r>
              <w:rPr>
                <w:b w:val="0"/>
                <w:sz w:val="20"/>
              </w:rPr>
              <w:t>+85</w:t>
            </w:r>
          </w:p>
        </w:tc>
        <w:tc>
          <w:tcPr>
            <w:vAlign w:val="center"/>
          </w:tcPr>
          <w:p w:rsidR="001A6775">
            <w:pPr>
              <w:bidi w:val="0"/>
              <w:spacing w:after="0" w:afterAutospacing="1"/>
              <w:jc w:val="right"/>
              <w:rPr>
                <w:b w:val="0"/>
                <w:sz w:val="20"/>
              </w:rPr>
            </w:pPr>
            <w:r>
              <w:rPr>
                <w:b w:val="0"/>
                <w:sz w:val="20"/>
              </w:rPr>
              <w:t>+5.06</w:t>
            </w:r>
          </w:p>
        </w:tc>
        <w:tc>
          <w:tcPr>
            <w:vAlign w:val="center"/>
          </w:tcPr>
          <w:p w:rsidR="001A6775">
            <w:pPr>
              <w:bidi w:val="0"/>
              <w:spacing w:after="0" w:afterAutospacing="1"/>
              <w:jc w:val="right"/>
              <w:rPr>
                <w:b w:val="0"/>
                <w:sz w:val="20"/>
              </w:rPr>
            </w:pPr>
            <w:r>
              <w:rPr>
                <w:b w:val="0"/>
                <w:sz w:val="20"/>
              </w:rPr>
              <w:t>+1.98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2019</w:t>
            </w:r>
          </w:p>
        </w:tc>
        <w:tc>
          <w:tcPr>
            <w:vAlign w:val="center"/>
          </w:tcPr>
          <w:p w:rsidR="001A6775">
            <w:pPr>
              <w:bidi w:val="0"/>
              <w:spacing w:after="0" w:afterAutospacing="1"/>
              <w:jc w:val="right"/>
              <w:rPr>
                <w:b w:val="0"/>
                <w:sz w:val="20"/>
              </w:rPr>
            </w:pPr>
            <w:r>
              <w:rPr>
                <w:b w:val="0"/>
                <w:sz w:val="20"/>
              </w:rPr>
              <w:t>1,644</w:t>
            </w:r>
          </w:p>
        </w:tc>
        <w:tc>
          <w:tcPr>
            <w:vAlign w:val="center"/>
          </w:tcPr>
          <w:p w:rsidR="001A6775">
            <w:pPr>
              <w:bidi w:val="0"/>
              <w:spacing w:after="0" w:afterAutospacing="1"/>
              <w:jc w:val="right"/>
              <w:rPr>
                <w:b w:val="0"/>
                <w:sz w:val="20"/>
              </w:rPr>
            </w:pPr>
            <w:r>
              <w:rPr>
                <w:b w:val="0"/>
                <w:sz w:val="20"/>
              </w:rPr>
              <w:t>-121</w:t>
            </w:r>
          </w:p>
        </w:tc>
        <w:tc>
          <w:tcPr>
            <w:vAlign w:val="center"/>
          </w:tcPr>
          <w:p w:rsidR="001A6775">
            <w:pPr>
              <w:bidi w:val="0"/>
              <w:spacing w:after="0" w:afterAutospacing="1"/>
              <w:jc w:val="right"/>
              <w:rPr>
                <w:b w:val="0"/>
                <w:sz w:val="20"/>
              </w:rPr>
            </w:pPr>
            <w:r>
              <w:rPr>
                <w:b w:val="0"/>
                <w:sz w:val="20"/>
              </w:rPr>
              <w:t>-6.86</w:t>
            </w:r>
          </w:p>
        </w:tc>
        <w:tc>
          <w:tcPr>
            <w:vAlign w:val="center"/>
          </w:tcPr>
          <w:p w:rsidR="001A6775">
            <w:pPr>
              <w:bidi w:val="0"/>
              <w:spacing w:after="0" w:afterAutospacing="1"/>
              <w:jc w:val="right"/>
              <w:rPr>
                <w:b w:val="0"/>
                <w:sz w:val="20"/>
              </w:rPr>
            </w:pPr>
            <w:r>
              <w:rPr>
                <w:b w:val="0"/>
                <w:sz w:val="20"/>
              </w:rPr>
              <w:t>+1.89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2020</w:t>
            </w:r>
          </w:p>
        </w:tc>
        <w:tc>
          <w:tcPr>
            <w:vAlign w:val="center"/>
          </w:tcPr>
          <w:p w:rsidR="001A6775">
            <w:pPr>
              <w:bidi w:val="0"/>
              <w:spacing w:after="0" w:afterAutospacing="1"/>
              <w:jc w:val="right"/>
              <w:rPr>
                <w:b w:val="0"/>
                <w:sz w:val="20"/>
              </w:rPr>
            </w:pPr>
            <w:r>
              <w:rPr>
                <w:b w:val="0"/>
                <w:sz w:val="20"/>
              </w:rPr>
              <w:t>1,653</w:t>
            </w:r>
          </w:p>
        </w:tc>
        <w:tc>
          <w:tcPr>
            <w:vAlign w:val="center"/>
          </w:tcPr>
          <w:p w:rsidR="001A6775">
            <w:pPr>
              <w:bidi w:val="0"/>
              <w:spacing w:after="0" w:afterAutospacing="1"/>
              <w:jc w:val="right"/>
              <w:rPr>
                <w:b w:val="0"/>
                <w:sz w:val="20"/>
              </w:rPr>
            </w:pPr>
            <w:r>
              <w:rPr>
                <w:b w:val="0"/>
                <w:sz w:val="20"/>
              </w:rPr>
              <w:t>+9</w:t>
            </w:r>
          </w:p>
        </w:tc>
        <w:tc>
          <w:tcPr>
            <w:vAlign w:val="center"/>
          </w:tcPr>
          <w:p w:rsidR="001A6775">
            <w:pPr>
              <w:bidi w:val="0"/>
              <w:spacing w:after="0" w:afterAutospacing="1"/>
              <w:jc w:val="right"/>
              <w:rPr>
                <w:b w:val="0"/>
                <w:sz w:val="20"/>
              </w:rPr>
            </w:pPr>
            <w:r>
              <w:rPr>
                <w:b w:val="0"/>
                <w:sz w:val="20"/>
              </w:rPr>
              <w:t>+0.55</w:t>
            </w:r>
          </w:p>
        </w:tc>
        <w:tc>
          <w:tcPr>
            <w:vAlign w:val="center"/>
          </w:tcPr>
          <w:p w:rsidR="001A6775">
            <w:pPr>
              <w:bidi w:val="0"/>
              <w:spacing w:after="0" w:afterAutospacing="1"/>
              <w:jc w:val="right"/>
              <w:rPr>
                <w:b w:val="0"/>
                <w:sz w:val="20"/>
              </w:rPr>
            </w:pPr>
            <w:r>
              <w:rPr>
                <w:b w:val="0"/>
                <w:sz w:val="20"/>
              </w:rPr>
              <w:t>+1.59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2021</w:t>
            </w:r>
          </w:p>
        </w:tc>
        <w:tc>
          <w:tcPr>
            <w:vAlign w:val="center"/>
          </w:tcPr>
          <w:p w:rsidR="001A6775">
            <w:pPr>
              <w:bidi w:val="0"/>
              <w:spacing w:after="0" w:afterAutospacing="1"/>
              <w:jc w:val="right"/>
              <w:rPr>
                <w:b w:val="0"/>
                <w:sz w:val="20"/>
              </w:rPr>
            </w:pPr>
            <w:r>
              <w:rPr>
                <w:b w:val="0"/>
                <w:sz w:val="20"/>
              </w:rPr>
              <w:t>1,631</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-1.33</w:t>
            </w:r>
          </w:p>
        </w:tc>
        <w:tc>
          <w:tcPr>
            <w:vAlign w:val="center"/>
          </w:tcPr>
          <w:p w:rsidR="001A6775">
            <w:pPr>
              <w:bidi w:val="0"/>
              <w:spacing w:after="0" w:afterAutospacing="1"/>
              <w:jc w:val="right"/>
              <w:rPr>
                <w:b w:val="0"/>
                <w:sz w:val="20"/>
              </w:rPr>
            </w:pPr>
            <w:r>
              <w:rPr>
                <w:b w:val="0"/>
                <w:sz w:val="20"/>
              </w:rPr>
              <w:t>+1.07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2022</w:t>
            </w:r>
          </w:p>
        </w:tc>
        <w:tc>
          <w:tcPr>
            <w:vAlign w:val="center"/>
          </w:tcPr>
          <w:p w:rsidR="001A6775">
            <w:pPr>
              <w:bidi w:val="0"/>
              <w:spacing w:after="0" w:afterAutospacing="1"/>
              <w:jc w:val="right"/>
              <w:rPr>
                <w:b w:val="0"/>
                <w:sz w:val="20"/>
              </w:rPr>
            </w:pPr>
            <w:r>
              <w:rPr>
                <w:b w:val="0"/>
                <w:sz w:val="20"/>
              </w:rPr>
              <w:t>1,658</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+1.66</w:t>
            </w:r>
          </w:p>
        </w:tc>
        <w:tc>
          <w:tcPr>
            <w:vAlign w:val="center"/>
          </w:tcPr>
          <w:p w:rsidR="001A6775">
            <w:pPr>
              <w:bidi w:val="0"/>
              <w:spacing w:after="0" w:afterAutospacing="1"/>
              <w:jc w:val="right"/>
              <w:rPr>
                <w:b w:val="0"/>
                <w:sz w:val="20"/>
              </w:rPr>
            </w:pPr>
            <w:r>
              <w:rPr>
                <w:b w:val="0"/>
                <w:sz w:val="20"/>
              </w:rPr>
              <w:t>+0.76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2023</w:t>
            </w:r>
          </w:p>
        </w:tc>
        <w:tc>
          <w:tcPr>
            <w:vAlign w:val="center"/>
          </w:tcPr>
          <w:p w:rsidR="001A6775">
            <w:pPr>
              <w:bidi w:val="0"/>
              <w:spacing w:after="0" w:afterAutospacing="1"/>
              <w:jc w:val="right"/>
              <w:rPr>
                <w:b w:val="0"/>
                <w:sz w:val="20"/>
              </w:rPr>
            </w:pPr>
            <w:r>
              <w:rPr>
                <w:b w:val="0"/>
                <w:sz w:val="20"/>
              </w:rPr>
              <w:t>1,707</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+2.96</w:t>
            </w:r>
          </w:p>
        </w:tc>
        <w:tc>
          <w:tcPr>
            <w:vAlign w:val="center"/>
          </w:tcPr>
          <w:p w:rsidR="001A6775">
            <w:pPr>
              <w:bidi w:val="0"/>
              <w:spacing w:after="0" w:afterAutospacing="1"/>
              <w:jc w:val="right"/>
              <w:rPr>
                <w:b w:val="0"/>
                <w:sz w:val="20"/>
              </w:rPr>
            </w:pPr>
            <w:r>
              <w:rPr>
                <w:b w:val="0"/>
                <w:sz w:val="20"/>
              </w:rPr>
              <w:t>+1.62</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0" w:afterAutospacing="1"/>
        <w:jc w:val="center"/>
      </w:pPr>
      <w:r>
        <w:pict>
          <v:shape id="_x0000_i1027" type="#_x0000_t75" style="height:286pt;width:481pt">
            <v:imagedata r:id="rId7" o:title=""/>
          </v:shape>
        </w:pict>
      </w:r>
    </w:p>
    <w:p w:rsidR="001A6775">
      <w:pPr>
        <w:bidi w:val="0"/>
        <w:spacing w:after="0" w:afterAutospacing="1"/>
        <w:jc w:val="center"/>
      </w:pPr>
    </w:p>
    <w:sectPr w:rsidSect="001A67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header" Target="head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