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Parramatta</w:t>
      </w:r>
    </w:p>
    <w:p w:rsidR="001A6775">
      <w:pPr>
        <w:pStyle w:val="Heading4"/>
        <w:bidi w:val="0"/>
        <w:spacing w:after="280" w:afterAutospacing="1"/>
      </w:pPr>
      <w:r>
        <w:rPr>
          <w:rtl w:val="0"/>
        </w:rPr>
        <w:t>Occupation of employment</w:t>
      </w:r>
    </w:p>
    <w:p w:rsidR="001A6775">
      <w:pPr>
        <w:bidi w:val="0"/>
        <w:spacing w:after="280" w:afterAutospacing="1"/>
      </w:pPr>
      <w:r>
        <w:rPr>
          <w:rtl w:val="0"/>
        </w:rPr>
        <w:t xml:space="preserve">North Rocks's occupation statistics quantify the occupations in which the residents work (which may be within the residing area or elsewhere). This will be influenced by the economic base and employment opportunities available in the area, education levels, and the working and social aspirations of the population. When viewed with other indicators, such as </w:t>
      </w:r>
      <w:r>
        <w:rPr>
          <w:rtl w:val="0"/>
        </w:rPr>
        <w:fldChar w:fldCharType="begin"/>
      </w:r>
      <w:r>
        <w:rPr>
          <w:rtl w:val="0"/>
        </w:rPr>
        <w:instrText xml:space="preserve"> HYPERLINK "qualifications?[QS]" </w:instrText>
      </w:r>
      <w:r>
        <w:rPr>
          <w:rtl w:val="0"/>
        </w:rPr>
        <w:fldChar w:fldCharType="separate"/>
      </w:r>
      <w:r>
        <w:rPr>
          <w:color w:val="0000FF"/>
          <w:u w:val="single"/>
          <w:rtl w:val="0"/>
        </w:rPr>
        <w:t>Educational Qualifications</w:t>
      </w:r>
      <w:r>
        <w:rPr>
          <w:rtl w:val="0"/>
        </w:rPr>
        <w:fldChar w:fldCharType="end"/>
      </w:r>
      <w:r>
        <w:rPr>
          <w:rtl w:val="0"/>
        </w:rPr>
        <w:t xml:space="preserve"> and </w:t>
      </w:r>
      <w:r>
        <w:rPr>
          <w:rtl w:val="0"/>
        </w:rPr>
        <w:fldChar w:fldCharType="begin"/>
      </w:r>
      <w:r>
        <w:rPr>
          <w:rtl w:val="0"/>
        </w:rPr>
        <w:instrText xml:space="preserve"> HYPERLINK "individual-income?[QS]" </w:instrText>
      </w:r>
      <w:r>
        <w:rPr>
          <w:rtl w:val="0"/>
        </w:rPr>
        <w:fldChar w:fldCharType="separate"/>
      </w:r>
      <w:r>
        <w:rPr>
          <w:color w:val="0000FF"/>
          <w:u w:val="single"/>
          <w:rtl w:val="0"/>
        </w:rPr>
        <w:t>Individual Income</w:t>
      </w:r>
      <w:r>
        <w:rPr>
          <w:rtl w:val="0"/>
        </w:rPr>
        <w:fldChar w:fldCharType="end"/>
      </w:r>
      <w:r>
        <w:rPr>
          <w:rtl w:val="0"/>
        </w:rPr>
        <w:t>, Occupation is a key measure for evaluating North Rocks's socio-economic status and skill base.</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Occupation of employment</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North Rocks - Employed persons (Usual residence)</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Occupation</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Parramatta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Parramatta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Managers</w:t>
            </w:r>
          </w:p>
        </w:tc>
        <w:tc>
          <w:tcPr>
            <w:vAlign w:val="center"/>
          </w:tcPr>
          <w:p w:rsidR="001A6775">
            <w:pPr>
              <w:bidi w:val="0"/>
              <w:spacing w:after="0" w:afterAutospacing="1"/>
              <w:jc w:val="right"/>
              <w:rPr>
                <w:b w:val="0"/>
                <w:sz w:val="20"/>
              </w:rPr>
            </w:pPr>
            <w:r>
              <w:rPr>
                <w:b w:val="0"/>
                <w:sz w:val="20"/>
              </w:rPr>
              <w:t>657</w:t>
            </w:r>
          </w:p>
        </w:tc>
        <w:tc>
          <w:tcPr>
            <w:vAlign w:val="center"/>
          </w:tcPr>
          <w:p w:rsidR="001A6775">
            <w:pPr>
              <w:bidi w:val="0"/>
              <w:spacing w:after="0" w:afterAutospacing="1"/>
              <w:jc w:val="right"/>
              <w:rPr>
                <w:b w:val="0"/>
                <w:sz w:val="20"/>
              </w:rPr>
            </w:pPr>
            <w:r>
              <w:rPr>
                <w:b w:val="0"/>
                <w:sz w:val="20"/>
              </w:rPr>
              <w:t>16.2</w:t>
            </w:r>
          </w:p>
        </w:tc>
        <w:tc>
          <w:tcPr>
            <w:vAlign w:val="center"/>
          </w:tcPr>
          <w:p w:rsidR="001A6775">
            <w:pPr>
              <w:bidi w:val="0"/>
              <w:spacing w:after="0" w:afterAutospacing="1"/>
              <w:jc w:val="right"/>
              <w:rPr>
                <w:b w:val="0"/>
                <w:sz w:val="20"/>
              </w:rPr>
            </w:pPr>
            <w:r>
              <w:rPr>
                <w:b w:val="0"/>
                <w:sz w:val="20"/>
              </w:rPr>
              <w:t>13.7</w:t>
            </w:r>
          </w:p>
        </w:tc>
        <w:tc>
          <w:tcPr>
            <w:vAlign w:val="center"/>
          </w:tcPr>
          <w:p w:rsidR="001A6775">
            <w:pPr>
              <w:bidi w:val="0"/>
              <w:spacing w:after="0" w:afterAutospacing="1"/>
              <w:jc w:val="right"/>
              <w:rPr>
                <w:b w:val="0"/>
                <w:sz w:val="20"/>
              </w:rPr>
            </w:pPr>
            <w:r>
              <w:rPr>
                <w:b w:val="0"/>
                <w:sz w:val="20"/>
              </w:rPr>
              <w:t>537</w:t>
            </w:r>
          </w:p>
        </w:tc>
        <w:tc>
          <w:tcPr>
            <w:vAlign w:val="center"/>
          </w:tcPr>
          <w:p w:rsidR="001A6775">
            <w:pPr>
              <w:bidi w:val="0"/>
              <w:spacing w:after="0" w:afterAutospacing="1"/>
              <w:jc w:val="right"/>
              <w:rPr>
                <w:b w:val="0"/>
                <w:sz w:val="20"/>
              </w:rPr>
            </w:pPr>
            <w:r>
              <w:rPr>
                <w:b w:val="0"/>
                <w:sz w:val="20"/>
              </w:rPr>
              <w:t>14.9</w:t>
            </w:r>
          </w:p>
        </w:tc>
        <w:tc>
          <w:tcPr>
            <w:vAlign w:val="center"/>
          </w:tcPr>
          <w:p w:rsidR="001A6775">
            <w:pPr>
              <w:bidi w:val="0"/>
              <w:spacing w:after="0" w:afterAutospacing="1"/>
              <w:jc w:val="right"/>
              <w:rPr>
                <w:b w:val="0"/>
                <w:sz w:val="20"/>
              </w:rPr>
            </w:pPr>
            <w:r>
              <w:rPr>
                <w:b w:val="0"/>
                <w:sz w:val="20"/>
              </w:rPr>
              <w:t>12.7</w:t>
            </w:r>
          </w:p>
        </w:tc>
        <w:tc>
          <w:tcPr>
            <w:vAlign w:val="center"/>
          </w:tcPr>
          <w:p w:rsidR="001A6775">
            <w:pPr>
              <w:bidi w:val="0"/>
              <w:spacing w:after="0" w:afterAutospacing="1"/>
              <w:jc w:val="right"/>
              <w:rPr>
                <w:b w:val="0"/>
                <w:sz w:val="20"/>
              </w:rPr>
            </w:pPr>
            <w:r>
              <w:rPr>
                <w:b w:val="0"/>
                <w:sz w:val="20"/>
              </w:rPr>
              <w:t>+120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Professionals</w:t>
            </w:r>
          </w:p>
        </w:tc>
        <w:tc>
          <w:tcPr>
            <w:vAlign w:val="center"/>
          </w:tcPr>
          <w:p w:rsidR="001A6775">
            <w:pPr>
              <w:bidi w:val="0"/>
              <w:spacing w:after="0" w:afterAutospacing="1"/>
              <w:jc w:val="right"/>
              <w:rPr>
                <w:b w:val="0"/>
                <w:sz w:val="20"/>
              </w:rPr>
            </w:pPr>
            <w:r>
              <w:rPr>
                <w:b w:val="0"/>
                <w:sz w:val="20"/>
              </w:rPr>
              <w:t>1,339</w:t>
            </w:r>
          </w:p>
        </w:tc>
        <w:tc>
          <w:tcPr>
            <w:vAlign w:val="center"/>
          </w:tcPr>
          <w:p w:rsidR="001A6775">
            <w:pPr>
              <w:bidi w:val="0"/>
              <w:spacing w:after="0" w:afterAutospacing="1"/>
              <w:jc w:val="right"/>
              <w:rPr>
                <w:b w:val="0"/>
                <w:sz w:val="20"/>
              </w:rPr>
            </w:pPr>
            <w:r>
              <w:rPr>
                <w:b w:val="0"/>
                <w:sz w:val="20"/>
              </w:rPr>
              <w:t>33.0</w:t>
            </w:r>
          </w:p>
        </w:tc>
        <w:tc>
          <w:tcPr>
            <w:vAlign w:val="center"/>
          </w:tcPr>
          <w:p w:rsidR="001A6775">
            <w:pPr>
              <w:bidi w:val="0"/>
              <w:spacing w:after="0" w:afterAutospacing="1"/>
              <w:jc w:val="right"/>
              <w:rPr>
                <w:b w:val="0"/>
                <w:sz w:val="20"/>
              </w:rPr>
            </w:pPr>
            <w:r>
              <w:rPr>
                <w:b w:val="0"/>
                <w:sz w:val="20"/>
              </w:rPr>
              <w:t>35.0</w:t>
            </w:r>
          </w:p>
        </w:tc>
        <w:tc>
          <w:tcPr>
            <w:vAlign w:val="center"/>
          </w:tcPr>
          <w:p w:rsidR="001A6775">
            <w:pPr>
              <w:bidi w:val="0"/>
              <w:spacing w:after="0" w:afterAutospacing="1"/>
              <w:jc w:val="right"/>
              <w:rPr>
                <w:b w:val="0"/>
                <w:sz w:val="20"/>
              </w:rPr>
            </w:pPr>
            <w:r>
              <w:rPr>
                <w:b w:val="0"/>
                <w:sz w:val="20"/>
              </w:rPr>
              <w:t>1,231</w:t>
            </w:r>
          </w:p>
        </w:tc>
        <w:tc>
          <w:tcPr>
            <w:vAlign w:val="center"/>
          </w:tcPr>
          <w:p w:rsidR="001A6775">
            <w:pPr>
              <w:bidi w:val="0"/>
              <w:spacing w:after="0" w:afterAutospacing="1"/>
              <w:jc w:val="right"/>
              <w:rPr>
                <w:b w:val="0"/>
                <w:sz w:val="20"/>
              </w:rPr>
            </w:pPr>
            <w:r>
              <w:rPr>
                <w:b w:val="0"/>
                <w:sz w:val="20"/>
              </w:rPr>
              <w:t>34.2</w:t>
            </w:r>
          </w:p>
        </w:tc>
        <w:tc>
          <w:tcPr>
            <w:vAlign w:val="center"/>
          </w:tcPr>
          <w:p w:rsidR="001A6775">
            <w:pPr>
              <w:bidi w:val="0"/>
              <w:spacing w:after="0" w:afterAutospacing="1"/>
              <w:jc w:val="right"/>
              <w:rPr>
                <w:b w:val="0"/>
                <w:sz w:val="20"/>
              </w:rPr>
            </w:pPr>
            <w:r>
              <w:rPr>
                <w:b w:val="0"/>
                <w:sz w:val="20"/>
              </w:rPr>
              <w:t>31.7</w:t>
            </w:r>
          </w:p>
        </w:tc>
        <w:tc>
          <w:tcPr>
            <w:vAlign w:val="center"/>
          </w:tcPr>
          <w:p w:rsidR="001A6775">
            <w:pPr>
              <w:bidi w:val="0"/>
              <w:spacing w:after="0" w:afterAutospacing="1"/>
              <w:jc w:val="right"/>
              <w:rPr>
                <w:b w:val="0"/>
                <w:sz w:val="20"/>
              </w:rPr>
            </w:pPr>
            <w:r>
              <w:rPr>
                <w:b w:val="0"/>
                <w:sz w:val="20"/>
              </w:rPr>
              <w:t>+108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Technicians and Trades Workers</w:t>
            </w:r>
          </w:p>
        </w:tc>
        <w:tc>
          <w:tcPr>
            <w:vAlign w:val="center"/>
          </w:tcPr>
          <w:p w:rsidR="001A6775">
            <w:pPr>
              <w:bidi w:val="0"/>
              <w:spacing w:after="0" w:afterAutospacing="1"/>
              <w:jc w:val="right"/>
              <w:rPr>
                <w:b w:val="0"/>
                <w:sz w:val="20"/>
              </w:rPr>
            </w:pPr>
            <w:r>
              <w:rPr>
                <w:b w:val="0"/>
                <w:sz w:val="20"/>
              </w:rPr>
              <w:t>434</w:t>
            </w:r>
          </w:p>
        </w:tc>
        <w:tc>
          <w:tcPr>
            <w:vAlign w:val="center"/>
          </w:tcPr>
          <w:p w:rsidR="001A6775">
            <w:pPr>
              <w:bidi w:val="0"/>
              <w:spacing w:after="0" w:afterAutospacing="1"/>
              <w:jc w:val="right"/>
              <w:rPr>
                <w:b w:val="0"/>
                <w:sz w:val="20"/>
              </w:rPr>
            </w:pPr>
            <w:r>
              <w:rPr>
                <w:b w:val="0"/>
                <w:sz w:val="20"/>
              </w:rPr>
              <w:t>10.7</w:t>
            </w:r>
          </w:p>
        </w:tc>
        <w:tc>
          <w:tcPr>
            <w:vAlign w:val="center"/>
          </w:tcPr>
          <w:p w:rsidR="001A6775">
            <w:pPr>
              <w:bidi w:val="0"/>
              <w:spacing w:after="0" w:afterAutospacing="1"/>
              <w:jc w:val="right"/>
              <w:rPr>
                <w:b w:val="0"/>
                <w:sz w:val="20"/>
              </w:rPr>
            </w:pPr>
            <w:r>
              <w:rPr>
                <w:b w:val="0"/>
                <w:sz w:val="20"/>
              </w:rPr>
              <w:t>9.0</w:t>
            </w:r>
          </w:p>
        </w:tc>
        <w:tc>
          <w:tcPr>
            <w:vAlign w:val="center"/>
          </w:tcPr>
          <w:p w:rsidR="001A6775">
            <w:pPr>
              <w:bidi w:val="0"/>
              <w:spacing w:after="0" w:afterAutospacing="1"/>
              <w:jc w:val="right"/>
              <w:rPr>
                <w:b w:val="0"/>
                <w:sz w:val="20"/>
              </w:rPr>
            </w:pPr>
            <w:r>
              <w:rPr>
                <w:b w:val="0"/>
                <w:sz w:val="20"/>
              </w:rPr>
              <w:t>404</w:t>
            </w:r>
          </w:p>
        </w:tc>
        <w:tc>
          <w:tcPr>
            <w:vAlign w:val="center"/>
          </w:tcPr>
          <w:p w:rsidR="001A6775">
            <w:pPr>
              <w:bidi w:val="0"/>
              <w:spacing w:after="0" w:afterAutospacing="1"/>
              <w:jc w:val="right"/>
              <w:rPr>
                <w:b w:val="0"/>
                <w:sz w:val="20"/>
              </w:rPr>
            </w:pPr>
            <w:r>
              <w:rPr>
                <w:b w:val="0"/>
                <w:sz w:val="20"/>
              </w:rPr>
              <w:t>11.2</w:t>
            </w:r>
          </w:p>
        </w:tc>
        <w:tc>
          <w:tcPr>
            <w:vAlign w:val="center"/>
          </w:tcPr>
          <w:p w:rsidR="001A6775">
            <w:pPr>
              <w:bidi w:val="0"/>
              <w:spacing w:after="0" w:afterAutospacing="1"/>
              <w:jc w:val="right"/>
              <w:rPr>
                <w:b w:val="0"/>
                <w:sz w:val="20"/>
              </w:rPr>
            </w:pPr>
            <w:r>
              <w:rPr>
                <w:b w:val="0"/>
                <w:sz w:val="20"/>
              </w:rPr>
              <w:t>10.3</w:t>
            </w:r>
          </w:p>
        </w:tc>
        <w:tc>
          <w:tcPr>
            <w:vAlign w:val="center"/>
          </w:tcPr>
          <w:p w:rsidR="001A6775">
            <w:pPr>
              <w:bidi w:val="0"/>
              <w:spacing w:after="0" w:afterAutospacing="1"/>
              <w:jc w:val="right"/>
              <w:rPr>
                <w:b w:val="0"/>
                <w:sz w:val="20"/>
              </w:rPr>
            </w:pPr>
            <w:r>
              <w:rPr>
                <w:b w:val="0"/>
                <w:sz w:val="20"/>
              </w:rPr>
              <w:t>+29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Community and Personal Service Workers</w:t>
            </w:r>
          </w:p>
        </w:tc>
        <w:tc>
          <w:tcPr>
            <w:vAlign w:val="center"/>
          </w:tcPr>
          <w:p w:rsidR="001A6775">
            <w:pPr>
              <w:bidi w:val="0"/>
              <w:spacing w:after="0" w:afterAutospacing="1"/>
              <w:jc w:val="right"/>
              <w:rPr>
                <w:b w:val="0"/>
                <w:sz w:val="20"/>
              </w:rPr>
            </w:pPr>
            <w:r>
              <w:rPr>
                <w:b w:val="0"/>
                <w:sz w:val="20"/>
              </w:rPr>
              <w:t>326</w:t>
            </w:r>
          </w:p>
        </w:tc>
        <w:tc>
          <w:tcPr>
            <w:vAlign w:val="center"/>
          </w:tcPr>
          <w:p w:rsidR="001A6775">
            <w:pPr>
              <w:bidi w:val="0"/>
              <w:spacing w:after="0" w:afterAutospacing="1"/>
              <w:jc w:val="right"/>
              <w:rPr>
                <w:b w:val="0"/>
                <w:sz w:val="20"/>
              </w:rPr>
            </w:pPr>
            <w:r>
              <w:rPr>
                <w:b w:val="0"/>
                <w:sz w:val="20"/>
              </w:rPr>
              <w:t>8.0</w:t>
            </w:r>
          </w:p>
        </w:tc>
        <w:tc>
          <w:tcPr>
            <w:vAlign w:val="center"/>
          </w:tcPr>
          <w:p w:rsidR="001A6775">
            <w:pPr>
              <w:bidi w:val="0"/>
              <w:spacing w:after="0" w:afterAutospacing="1"/>
              <w:jc w:val="right"/>
              <w:rPr>
                <w:b w:val="0"/>
                <w:sz w:val="20"/>
              </w:rPr>
            </w:pPr>
            <w:r>
              <w:rPr>
                <w:b w:val="0"/>
                <w:sz w:val="20"/>
              </w:rPr>
              <w:t>8.2</w:t>
            </w:r>
          </w:p>
        </w:tc>
        <w:tc>
          <w:tcPr>
            <w:vAlign w:val="center"/>
          </w:tcPr>
          <w:p w:rsidR="001A6775">
            <w:pPr>
              <w:bidi w:val="0"/>
              <w:spacing w:after="0" w:afterAutospacing="1"/>
              <w:jc w:val="right"/>
              <w:rPr>
                <w:b w:val="0"/>
                <w:sz w:val="20"/>
              </w:rPr>
            </w:pPr>
            <w:r>
              <w:rPr>
                <w:b w:val="0"/>
                <w:sz w:val="20"/>
              </w:rPr>
              <w:t>302</w:t>
            </w:r>
          </w:p>
        </w:tc>
        <w:tc>
          <w:tcPr>
            <w:vAlign w:val="center"/>
          </w:tcPr>
          <w:p w:rsidR="001A6775">
            <w:pPr>
              <w:bidi w:val="0"/>
              <w:spacing w:after="0" w:afterAutospacing="1"/>
              <w:jc w:val="right"/>
              <w:rPr>
                <w:b w:val="0"/>
                <w:sz w:val="20"/>
              </w:rPr>
            </w:pPr>
            <w:r>
              <w:rPr>
                <w:b w:val="0"/>
                <w:sz w:val="20"/>
              </w:rPr>
              <w:t>8.4</w:t>
            </w:r>
          </w:p>
        </w:tc>
        <w:tc>
          <w:tcPr>
            <w:vAlign w:val="center"/>
          </w:tcPr>
          <w:p w:rsidR="001A6775">
            <w:pPr>
              <w:bidi w:val="0"/>
              <w:spacing w:after="0" w:afterAutospacing="1"/>
              <w:jc w:val="right"/>
              <w:rPr>
                <w:b w:val="0"/>
                <w:sz w:val="20"/>
              </w:rPr>
            </w:pPr>
            <w:r>
              <w:rPr>
                <w:b w:val="0"/>
                <w:sz w:val="20"/>
              </w:rPr>
              <w:t>8.3</w:t>
            </w:r>
          </w:p>
        </w:tc>
        <w:tc>
          <w:tcPr>
            <w:vAlign w:val="center"/>
          </w:tcPr>
          <w:p w:rsidR="001A6775">
            <w:pPr>
              <w:bidi w:val="0"/>
              <w:spacing w:after="0" w:afterAutospacing="1"/>
              <w:jc w:val="right"/>
              <w:rPr>
                <w:b w:val="0"/>
                <w:sz w:val="20"/>
              </w:rPr>
            </w:pPr>
            <w:r>
              <w:rPr>
                <w:b w:val="0"/>
                <w:sz w:val="20"/>
              </w:rPr>
              <w:t>+23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Clerical and Administrative Workers</w:t>
            </w:r>
          </w:p>
        </w:tc>
        <w:tc>
          <w:tcPr>
            <w:vAlign w:val="center"/>
          </w:tcPr>
          <w:p w:rsidR="001A6775">
            <w:pPr>
              <w:bidi w:val="0"/>
              <w:spacing w:after="0" w:afterAutospacing="1"/>
              <w:jc w:val="right"/>
              <w:rPr>
                <w:b w:val="0"/>
                <w:sz w:val="20"/>
              </w:rPr>
            </w:pPr>
            <w:r>
              <w:rPr>
                <w:b w:val="0"/>
                <w:sz w:val="20"/>
              </w:rPr>
              <w:t>606</w:t>
            </w:r>
          </w:p>
        </w:tc>
        <w:tc>
          <w:tcPr>
            <w:vAlign w:val="center"/>
          </w:tcPr>
          <w:p w:rsidR="001A6775">
            <w:pPr>
              <w:bidi w:val="0"/>
              <w:spacing w:after="0" w:afterAutospacing="1"/>
              <w:jc w:val="right"/>
              <w:rPr>
                <w:b w:val="0"/>
                <w:sz w:val="20"/>
              </w:rPr>
            </w:pPr>
            <w:r>
              <w:rPr>
                <w:b w:val="0"/>
                <w:sz w:val="20"/>
              </w:rPr>
              <w:t>14.9</w:t>
            </w:r>
          </w:p>
        </w:tc>
        <w:tc>
          <w:tcPr>
            <w:vAlign w:val="center"/>
          </w:tcPr>
          <w:p w:rsidR="001A6775">
            <w:pPr>
              <w:bidi w:val="0"/>
              <w:spacing w:after="0" w:afterAutospacing="1"/>
              <w:jc w:val="right"/>
              <w:rPr>
                <w:b w:val="0"/>
                <w:sz w:val="20"/>
              </w:rPr>
            </w:pPr>
            <w:r>
              <w:rPr>
                <w:b w:val="0"/>
                <w:sz w:val="20"/>
              </w:rPr>
              <w:t>14.2</w:t>
            </w:r>
          </w:p>
        </w:tc>
        <w:tc>
          <w:tcPr>
            <w:vAlign w:val="center"/>
          </w:tcPr>
          <w:p w:rsidR="001A6775">
            <w:pPr>
              <w:bidi w:val="0"/>
              <w:spacing w:after="0" w:afterAutospacing="1"/>
              <w:jc w:val="right"/>
              <w:rPr>
                <w:b w:val="0"/>
                <w:sz w:val="20"/>
              </w:rPr>
            </w:pPr>
            <w:r>
              <w:rPr>
                <w:b w:val="0"/>
                <w:sz w:val="20"/>
              </w:rPr>
              <w:t>527</w:t>
            </w:r>
          </w:p>
        </w:tc>
        <w:tc>
          <w:tcPr>
            <w:vAlign w:val="center"/>
          </w:tcPr>
          <w:p w:rsidR="001A6775">
            <w:pPr>
              <w:bidi w:val="0"/>
              <w:spacing w:after="0" w:afterAutospacing="1"/>
              <w:jc w:val="right"/>
              <w:rPr>
                <w:b w:val="0"/>
                <w:sz w:val="20"/>
              </w:rPr>
            </w:pPr>
            <w:r>
              <w:rPr>
                <w:b w:val="0"/>
                <w:sz w:val="20"/>
              </w:rPr>
              <w:t>14.7</w:t>
            </w:r>
          </w:p>
        </w:tc>
        <w:tc>
          <w:tcPr>
            <w:vAlign w:val="center"/>
          </w:tcPr>
          <w:p w:rsidR="001A6775">
            <w:pPr>
              <w:bidi w:val="0"/>
              <w:spacing w:after="0" w:afterAutospacing="1"/>
              <w:jc w:val="right"/>
              <w:rPr>
                <w:b w:val="0"/>
                <w:sz w:val="20"/>
              </w:rPr>
            </w:pPr>
            <w:r>
              <w:rPr>
                <w:b w:val="0"/>
                <w:sz w:val="20"/>
              </w:rPr>
              <w:t>15.4</w:t>
            </w:r>
          </w:p>
        </w:tc>
        <w:tc>
          <w:tcPr>
            <w:vAlign w:val="center"/>
          </w:tcPr>
          <w:p w:rsidR="001A6775">
            <w:pPr>
              <w:bidi w:val="0"/>
              <w:spacing w:after="0" w:afterAutospacing="1"/>
              <w:jc w:val="right"/>
              <w:rPr>
                <w:b w:val="0"/>
                <w:sz w:val="20"/>
              </w:rPr>
            </w:pPr>
            <w:r>
              <w:rPr>
                <w:b w:val="0"/>
                <w:sz w:val="20"/>
              </w:rPr>
              <w:t>+78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Sales Workers</w:t>
            </w:r>
          </w:p>
        </w:tc>
        <w:tc>
          <w:tcPr>
            <w:vAlign w:val="center"/>
          </w:tcPr>
          <w:p w:rsidR="001A6775">
            <w:pPr>
              <w:bidi w:val="0"/>
              <w:spacing w:after="0" w:afterAutospacing="1"/>
              <w:jc w:val="right"/>
              <w:rPr>
                <w:b w:val="0"/>
                <w:sz w:val="20"/>
              </w:rPr>
            </w:pPr>
            <w:r>
              <w:rPr>
                <w:b w:val="0"/>
                <w:sz w:val="20"/>
              </w:rPr>
              <w:t>302</w:t>
            </w:r>
          </w:p>
        </w:tc>
        <w:tc>
          <w:tcPr>
            <w:vAlign w:val="center"/>
          </w:tcPr>
          <w:p w:rsidR="001A6775">
            <w:pPr>
              <w:bidi w:val="0"/>
              <w:spacing w:after="0" w:afterAutospacing="1"/>
              <w:jc w:val="right"/>
              <w:rPr>
                <w:b w:val="0"/>
                <w:sz w:val="20"/>
              </w:rPr>
            </w:pPr>
            <w:r>
              <w:rPr>
                <w:b w:val="0"/>
                <w:sz w:val="20"/>
              </w:rPr>
              <w:t>7.4</w:t>
            </w:r>
          </w:p>
        </w:tc>
        <w:tc>
          <w:tcPr>
            <w:vAlign w:val="center"/>
          </w:tcPr>
          <w:p w:rsidR="001A6775">
            <w:pPr>
              <w:bidi w:val="0"/>
              <w:spacing w:after="0" w:afterAutospacing="1"/>
              <w:jc w:val="right"/>
              <w:rPr>
                <w:b w:val="0"/>
                <w:sz w:val="20"/>
              </w:rPr>
            </w:pPr>
            <w:r>
              <w:rPr>
                <w:b w:val="0"/>
                <w:sz w:val="20"/>
              </w:rPr>
              <w:t>7.2</w:t>
            </w:r>
          </w:p>
        </w:tc>
        <w:tc>
          <w:tcPr>
            <w:vAlign w:val="center"/>
          </w:tcPr>
          <w:p w:rsidR="001A6775">
            <w:pPr>
              <w:bidi w:val="0"/>
              <w:spacing w:after="0" w:afterAutospacing="1"/>
              <w:jc w:val="right"/>
              <w:rPr>
                <w:b w:val="0"/>
                <w:sz w:val="20"/>
              </w:rPr>
            </w:pPr>
            <w:r>
              <w:rPr>
                <w:b w:val="0"/>
                <w:sz w:val="20"/>
              </w:rPr>
              <w:t>283</w:t>
            </w:r>
          </w:p>
        </w:tc>
        <w:tc>
          <w:tcPr>
            <w:vAlign w:val="center"/>
          </w:tcPr>
          <w:p w:rsidR="001A6775">
            <w:pPr>
              <w:bidi w:val="0"/>
              <w:spacing w:after="0" w:afterAutospacing="1"/>
              <w:jc w:val="right"/>
              <w:rPr>
                <w:b w:val="0"/>
                <w:sz w:val="20"/>
              </w:rPr>
            </w:pPr>
            <w:r>
              <w:rPr>
                <w:b w:val="0"/>
                <w:sz w:val="20"/>
              </w:rPr>
              <w:t>7.9</w:t>
            </w:r>
          </w:p>
        </w:tc>
        <w:tc>
          <w:tcPr>
            <w:vAlign w:val="center"/>
          </w:tcPr>
          <w:p w:rsidR="001A6775">
            <w:pPr>
              <w:bidi w:val="0"/>
              <w:spacing w:after="0" w:afterAutospacing="1"/>
              <w:jc w:val="right"/>
              <w:rPr>
                <w:b w:val="0"/>
                <w:sz w:val="20"/>
              </w:rPr>
            </w:pPr>
            <w:r>
              <w:rPr>
                <w:b w:val="0"/>
                <w:sz w:val="20"/>
              </w:rPr>
              <w:t>8.4</w:t>
            </w:r>
          </w:p>
        </w:tc>
        <w:tc>
          <w:tcPr>
            <w:vAlign w:val="center"/>
          </w:tcPr>
          <w:p w:rsidR="001A6775">
            <w:pPr>
              <w:bidi w:val="0"/>
              <w:spacing w:after="0" w:afterAutospacing="1"/>
              <w:jc w:val="right"/>
              <w:rPr>
                <w:b w:val="0"/>
                <w:sz w:val="20"/>
              </w:rPr>
            </w:pPr>
            <w:r>
              <w:rPr>
                <w:b w:val="0"/>
                <w:sz w:val="20"/>
              </w:rPr>
              <w:t>+18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Machinery Operators And Drivers</w:t>
            </w:r>
          </w:p>
        </w:tc>
        <w:tc>
          <w:tcPr>
            <w:vAlign w:val="center"/>
          </w:tcPr>
          <w:p w:rsidR="001A6775">
            <w:pPr>
              <w:bidi w:val="0"/>
              <w:spacing w:after="0" w:afterAutospacing="1"/>
              <w:jc w:val="right"/>
              <w:rPr>
                <w:b w:val="0"/>
                <w:sz w:val="20"/>
              </w:rPr>
            </w:pPr>
            <w:r>
              <w:rPr>
                <w:b w:val="0"/>
                <w:sz w:val="20"/>
              </w:rPr>
              <w:t>123</w:t>
            </w:r>
          </w:p>
        </w:tc>
        <w:tc>
          <w:tcPr>
            <w:vAlign w:val="center"/>
          </w:tcPr>
          <w:p w:rsidR="001A6775">
            <w:pPr>
              <w:bidi w:val="0"/>
              <w:spacing w:after="0" w:afterAutospacing="1"/>
              <w:jc w:val="right"/>
              <w:rPr>
                <w:b w:val="0"/>
                <w:sz w:val="20"/>
              </w:rPr>
            </w:pPr>
            <w:r>
              <w:rPr>
                <w:b w:val="0"/>
                <w:sz w:val="20"/>
              </w:rPr>
              <w:t>3.0</w:t>
            </w:r>
          </w:p>
        </w:tc>
        <w:tc>
          <w:tcPr>
            <w:vAlign w:val="center"/>
          </w:tcPr>
          <w:p w:rsidR="001A6775">
            <w:pPr>
              <w:bidi w:val="0"/>
              <w:spacing w:after="0" w:afterAutospacing="1"/>
              <w:jc w:val="right"/>
              <w:rPr>
                <w:b w:val="0"/>
                <w:sz w:val="20"/>
              </w:rPr>
            </w:pPr>
            <w:r>
              <w:rPr>
                <w:b w:val="0"/>
                <w:sz w:val="20"/>
              </w:rPr>
              <w:t>4.8</w:t>
            </w:r>
          </w:p>
        </w:tc>
        <w:tc>
          <w:tcPr>
            <w:vAlign w:val="center"/>
          </w:tcPr>
          <w:p w:rsidR="001A6775">
            <w:pPr>
              <w:bidi w:val="0"/>
              <w:spacing w:after="0" w:afterAutospacing="1"/>
              <w:jc w:val="right"/>
              <w:rPr>
                <w:b w:val="0"/>
                <w:sz w:val="20"/>
              </w:rPr>
            </w:pPr>
            <w:r>
              <w:rPr>
                <w:b w:val="0"/>
                <w:sz w:val="20"/>
              </w:rPr>
              <w:t>107</w:t>
            </w:r>
          </w:p>
        </w:tc>
        <w:tc>
          <w:tcPr>
            <w:vAlign w:val="center"/>
          </w:tcPr>
          <w:p w:rsidR="001A6775">
            <w:pPr>
              <w:bidi w:val="0"/>
              <w:spacing w:after="0" w:afterAutospacing="1"/>
              <w:jc w:val="right"/>
              <w:rPr>
                <w:b w:val="0"/>
                <w:sz w:val="20"/>
              </w:rPr>
            </w:pPr>
            <w:r>
              <w:rPr>
                <w:b w:val="0"/>
                <w:sz w:val="20"/>
              </w:rPr>
              <w:t>3.0</w:t>
            </w:r>
          </w:p>
        </w:tc>
        <w:tc>
          <w:tcPr>
            <w:vAlign w:val="center"/>
          </w:tcPr>
          <w:p w:rsidR="001A6775">
            <w:pPr>
              <w:bidi w:val="0"/>
              <w:spacing w:after="0" w:afterAutospacing="1"/>
              <w:jc w:val="right"/>
              <w:rPr>
                <w:b w:val="0"/>
                <w:sz w:val="20"/>
              </w:rPr>
            </w:pPr>
            <w:r>
              <w:rPr>
                <w:b w:val="0"/>
                <w:sz w:val="20"/>
              </w:rPr>
              <w:t>4.8</w:t>
            </w:r>
          </w:p>
        </w:tc>
        <w:tc>
          <w:tcPr>
            <w:vAlign w:val="center"/>
          </w:tcPr>
          <w:p w:rsidR="001A6775">
            <w:pPr>
              <w:bidi w:val="0"/>
              <w:spacing w:after="0" w:afterAutospacing="1"/>
              <w:jc w:val="right"/>
              <w:rPr>
                <w:b w:val="0"/>
                <w:sz w:val="20"/>
              </w:rPr>
            </w:pPr>
            <w:r>
              <w:rPr>
                <w:b w:val="0"/>
                <w:sz w:val="20"/>
              </w:rPr>
              <w:t>+15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Labourers</w:t>
            </w:r>
          </w:p>
        </w:tc>
        <w:tc>
          <w:tcPr>
            <w:vAlign w:val="center"/>
          </w:tcPr>
          <w:p w:rsidR="001A6775">
            <w:pPr>
              <w:bidi w:val="0"/>
              <w:spacing w:after="0" w:afterAutospacing="1"/>
              <w:jc w:val="right"/>
              <w:rPr>
                <w:b w:val="0"/>
                <w:sz w:val="20"/>
              </w:rPr>
            </w:pPr>
            <w:r>
              <w:rPr>
                <w:b w:val="0"/>
                <w:sz w:val="20"/>
              </w:rPr>
              <w:t>190</w:t>
            </w:r>
          </w:p>
        </w:tc>
        <w:tc>
          <w:tcPr>
            <w:vAlign w:val="center"/>
          </w:tcPr>
          <w:p w:rsidR="001A6775">
            <w:pPr>
              <w:bidi w:val="0"/>
              <w:spacing w:after="0" w:afterAutospacing="1"/>
              <w:jc w:val="right"/>
              <w:rPr>
                <w:b w:val="0"/>
                <w:sz w:val="20"/>
              </w:rPr>
            </w:pPr>
            <w:r>
              <w:rPr>
                <w:b w:val="0"/>
                <w:sz w:val="20"/>
              </w:rPr>
              <w:t>4.7</w:t>
            </w:r>
          </w:p>
        </w:tc>
        <w:tc>
          <w:tcPr>
            <w:vAlign w:val="center"/>
          </w:tcPr>
          <w:p w:rsidR="001A6775">
            <w:pPr>
              <w:bidi w:val="0"/>
              <w:spacing w:after="0" w:afterAutospacing="1"/>
              <w:jc w:val="right"/>
              <w:rPr>
                <w:b w:val="0"/>
                <w:sz w:val="20"/>
              </w:rPr>
            </w:pPr>
            <w:r>
              <w:rPr>
                <w:b w:val="0"/>
                <w:sz w:val="20"/>
              </w:rPr>
              <w:t>5.9</w:t>
            </w:r>
          </w:p>
        </w:tc>
        <w:tc>
          <w:tcPr>
            <w:vAlign w:val="center"/>
          </w:tcPr>
          <w:p w:rsidR="001A6775">
            <w:pPr>
              <w:bidi w:val="0"/>
              <w:spacing w:after="0" w:afterAutospacing="1"/>
              <w:jc w:val="right"/>
              <w:rPr>
                <w:b w:val="0"/>
                <w:sz w:val="20"/>
              </w:rPr>
            </w:pPr>
            <w:r>
              <w:rPr>
                <w:b w:val="0"/>
                <w:sz w:val="20"/>
              </w:rPr>
              <w:t>145</w:t>
            </w:r>
          </w:p>
        </w:tc>
        <w:tc>
          <w:tcPr>
            <w:vAlign w:val="center"/>
          </w:tcPr>
          <w:p w:rsidR="001A6775">
            <w:pPr>
              <w:bidi w:val="0"/>
              <w:spacing w:after="0" w:afterAutospacing="1"/>
              <w:jc w:val="right"/>
              <w:rPr>
                <w:b w:val="0"/>
                <w:sz w:val="20"/>
              </w:rPr>
            </w:pPr>
            <w:r>
              <w:rPr>
                <w:b w:val="0"/>
                <w:sz w:val="20"/>
              </w:rPr>
              <w:t>4.1</w:t>
            </w:r>
          </w:p>
        </w:tc>
        <w:tc>
          <w:tcPr>
            <w:vAlign w:val="center"/>
          </w:tcPr>
          <w:p w:rsidR="001A6775">
            <w:pPr>
              <w:bidi w:val="0"/>
              <w:spacing w:after="0" w:afterAutospacing="1"/>
              <w:jc w:val="right"/>
              <w:rPr>
                <w:b w:val="0"/>
                <w:sz w:val="20"/>
              </w:rPr>
            </w:pPr>
            <w:r>
              <w:rPr>
                <w:b w:val="0"/>
                <w:sz w:val="20"/>
              </w:rPr>
              <w:t>6.5</w:t>
            </w:r>
          </w:p>
        </w:tc>
        <w:tc>
          <w:tcPr>
            <w:vAlign w:val="center"/>
          </w:tcPr>
          <w:p w:rsidR="001A6775">
            <w:pPr>
              <w:bidi w:val="0"/>
              <w:spacing w:after="0" w:afterAutospacing="1"/>
              <w:jc w:val="right"/>
              <w:rPr>
                <w:b w:val="0"/>
                <w:sz w:val="20"/>
              </w:rPr>
            </w:pPr>
            <w:r>
              <w:rPr>
                <w:b w:val="0"/>
                <w:sz w:val="20"/>
              </w:rPr>
              <w:t>+44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Not stated or inadequately described</w:t>
            </w:r>
          </w:p>
        </w:tc>
        <w:tc>
          <w:tcPr>
            <w:vAlign w:val="center"/>
          </w:tcPr>
          <w:p w:rsidR="001A6775">
            <w:pPr>
              <w:bidi w:val="0"/>
              <w:spacing w:after="0" w:afterAutospacing="1"/>
              <w:jc w:val="right"/>
              <w:rPr>
                <w:b w:val="0"/>
                <w:sz w:val="20"/>
              </w:rPr>
            </w:pPr>
            <w:r>
              <w:rPr>
                <w:b w:val="0"/>
                <w:sz w:val="20"/>
              </w:rPr>
              <w:t>67</w:t>
            </w:r>
          </w:p>
        </w:tc>
        <w:tc>
          <w:tcPr>
            <w:vAlign w:val="center"/>
          </w:tcPr>
          <w:p w:rsidR="001A6775">
            <w:pPr>
              <w:bidi w:val="0"/>
              <w:spacing w:after="0" w:afterAutospacing="1"/>
              <w:jc w:val="right"/>
              <w:rPr>
                <w:b w:val="0"/>
                <w:sz w:val="20"/>
              </w:rPr>
            </w:pPr>
            <w:r>
              <w:rPr>
                <w:b w:val="0"/>
                <w:sz w:val="20"/>
              </w:rPr>
              <w:t>1.7</w:t>
            </w:r>
          </w:p>
        </w:tc>
        <w:tc>
          <w:tcPr>
            <w:vAlign w:val="center"/>
          </w:tcPr>
          <w:p w:rsidR="001A6775">
            <w:pPr>
              <w:bidi w:val="0"/>
              <w:spacing w:after="0" w:afterAutospacing="1"/>
              <w:jc w:val="right"/>
              <w:rPr>
                <w:b w:val="0"/>
                <w:sz w:val="20"/>
              </w:rPr>
            </w:pPr>
            <w:r>
              <w:rPr>
                <w:b w:val="0"/>
                <w:sz w:val="20"/>
              </w:rPr>
              <w:t>2.0</w:t>
            </w:r>
          </w:p>
        </w:tc>
        <w:tc>
          <w:tcPr>
            <w:vAlign w:val="center"/>
          </w:tcPr>
          <w:p w:rsidR="001A6775">
            <w:pPr>
              <w:bidi w:val="0"/>
              <w:spacing w:after="0" w:afterAutospacing="1"/>
              <w:jc w:val="right"/>
              <w:rPr>
                <w:b w:val="0"/>
                <w:sz w:val="20"/>
              </w:rPr>
            </w:pPr>
            <w:r>
              <w:rPr>
                <w:b w:val="0"/>
                <w:sz w:val="20"/>
              </w:rPr>
              <w:t>58</w:t>
            </w:r>
          </w:p>
        </w:tc>
        <w:tc>
          <w:tcPr>
            <w:vAlign w:val="center"/>
          </w:tcPr>
          <w:p w:rsidR="001A6775">
            <w:pPr>
              <w:bidi w:val="0"/>
              <w:spacing w:after="0" w:afterAutospacing="1"/>
              <w:jc w:val="right"/>
              <w:rPr>
                <w:b w:val="0"/>
                <w:sz w:val="20"/>
              </w:rPr>
            </w:pPr>
            <w:r>
              <w:rPr>
                <w:b w:val="0"/>
                <w:sz w:val="20"/>
              </w:rPr>
              <w:t>1.6</w:t>
            </w:r>
          </w:p>
        </w:tc>
        <w:tc>
          <w:tcPr>
            <w:vAlign w:val="center"/>
          </w:tcPr>
          <w:p w:rsidR="001A6775">
            <w:pPr>
              <w:bidi w:val="0"/>
              <w:spacing w:after="0" w:afterAutospacing="1"/>
              <w:jc w:val="right"/>
              <w:rPr>
                <w:b w:val="0"/>
                <w:sz w:val="20"/>
              </w:rPr>
            </w:pPr>
            <w:r>
              <w:rPr>
                <w:b w:val="0"/>
                <w:sz w:val="20"/>
              </w:rPr>
              <w:t>2.0</w:t>
            </w:r>
          </w:p>
        </w:tc>
        <w:tc>
          <w:tcPr>
            <w:vAlign w:val="center"/>
          </w:tcPr>
          <w:p w:rsidR="001A6775">
            <w:pPr>
              <w:bidi w:val="0"/>
              <w:spacing w:after="0" w:afterAutospacing="1"/>
              <w:jc w:val="right"/>
              <w:rPr>
                <w:b w:val="0"/>
                <w:sz w:val="20"/>
              </w:rPr>
            </w:pPr>
            <w:r>
              <w:rPr>
                <w:b w:val="0"/>
                <w:sz w:val="20"/>
              </w:rPr>
              <w:t>+8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employed persons aged 15+</w:t>
            </w:r>
          </w:p>
        </w:tc>
        <w:tc>
          <w:tcPr>
            <w:vAlign w:val="center"/>
          </w:tcPr>
          <w:p w:rsidR="001A6775">
            <w:pPr>
              <w:bidi w:val="0"/>
              <w:spacing w:after="0" w:afterAutospacing="1"/>
              <w:jc w:val="right"/>
              <w:rPr>
                <w:b/>
                <w:sz w:val="20"/>
              </w:rPr>
            </w:pPr>
            <w:r>
              <w:rPr>
                <w:b/>
                <w:sz w:val="20"/>
              </w:rPr>
              <w:t>4,056</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3,600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+455</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280" w:afterAutospacing="1"/>
      </w:pPr>
      <w:r>
        <w:rPr>
          <w:rtl w:val="0"/>
        </w:rPr>
        <w:t>An analysis of the jobs held by the resident population in North Rocks in 2021 shows the three most popular occupations were:</w:t>
      </w:r>
    </w:p>
    <w:p>
      <w:pPr>
        <w:numPr>
          <w:ilvl w:val="0"/>
          <w:numId w:val="1"/>
        </w:numPr>
        <w:bidi w:val="0"/>
        <w:spacing w:after="0" w:afterAutospacing="0"/>
        <w:rPr>
          <w:rtl w:val="0"/>
        </w:rPr>
      </w:pPr>
      <w:r>
        <w:rPr>
          <w:rtl w:val="0"/>
        </w:rPr>
        <w:t>Professionals (1,339 people or 33.0%)</w:t>
      </w:r>
    </w:p>
    <w:p>
      <w:pPr>
        <w:numPr>
          <w:ilvl w:val="0"/>
          <w:numId w:val="1"/>
        </w:numPr>
        <w:bidi w:val="0"/>
        <w:spacing w:after="0" w:afterAutospacing="0"/>
        <w:ind w:left="720"/>
        <w:rPr>
          <w:rtl w:val="0"/>
        </w:rPr>
      </w:pPr>
      <w:r>
        <w:rPr>
          <w:rtl w:val="0"/>
        </w:rPr>
        <w:t>Managers (657 people or 16.2%)</w:t>
      </w:r>
    </w:p>
    <w:p>
      <w:pPr>
        <w:numPr>
          <w:ilvl w:val="0"/>
          <w:numId w:val="1"/>
        </w:numPr>
        <w:bidi w:val="0"/>
        <w:spacing w:after="280" w:afterAutospacing="1"/>
        <w:ind w:left="720"/>
        <w:rPr>
          <w:rtl w:val="0"/>
        </w:rPr>
      </w:pPr>
      <w:r>
        <w:rPr>
          <w:rtl w:val="0"/>
        </w:rPr>
        <w:t>Clerical and Administrative Workers (606 people or 14.9%)</w:t>
      </w:r>
    </w:p>
    <w:p>
      <w:pPr>
        <w:bidi w:val="0"/>
        <w:spacing w:after="280" w:afterAutospacing="1"/>
        <w:rPr>
          <w:rtl w:val="0"/>
        </w:rPr>
      </w:pPr>
      <w:r>
        <w:rPr>
          <w:rtl w:val="0"/>
        </w:rPr>
        <w:t>In combination these three occupations accounted for 2,602 people in total or 64.2% of the employed resident population.</w:t>
      </w:r>
    </w:p>
    <w:p>
      <w:pPr>
        <w:bidi w:val="0"/>
        <w:spacing w:after="280" w:afterAutospacing="1"/>
        <w:rPr>
          <w:rtl w:val="0"/>
        </w:rPr>
      </w:pPr>
      <w:r>
        <w:rPr>
          <w:rtl w:val="0"/>
        </w:rPr>
        <w:t>In comparison, City of Parramatta employed 35.0% in Professionals; 13.7% in Managers; and 14.2% in Clerical and Administrative Workers.</w:t>
      </w:r>
    </w:p>
    <w:p>
      <w:pPr>
        <w:bidi w:val="0"/>
        <w:spacing w:after="280" w:afterAutospacing="1"/>
        <w:rPr>
          <w:rtl w:val="0"/>
        </w:rPr>
      </w:pPr>
      <w:r>
        <w:rPr>
          <w:rtl w:val="0"/>
        </w:rPr>
        <w:t>The major differences between the jobs held by the population of North Rocks and City of Parramatta were:</w:t>
      </w:r>
    </w:p>
    <w:p>
      <w:pPr>
        <w:numPr>
          <w:ilvl w:val="0"/>
          <w:numId w:val="2"/>
        </w:numPr>
        <w:bidi w:val="0"/>
        <w:spacing w:after="0" w:afterAutospacing="0"/>
        <w:rPr>
          <w:rtl w:val="0"/>
        </w:rPr>
      </w:pPr>
      <w:r>
        <w:rPr>
          <w:rtl w:val="0"/>
        </w:rPr>
        <w:t xml:space="preserve">A </w:t>
      </w:r>
      <w:r>
        <w:rPr>
          <w:i/>
          <w:iCs/>
          <w:rtl w:val="0"/>
        </w:rPr>
        <w:t>larger</w:t>
      </w:r>
      <w:r>
        <w:rPr>
          <w:rtl w:val="0"/>
        </w:rPr>
        <w:t xml:space="preserve"> percentage of persons employed as Managers (16.2% compared to 13.7%)</w:t>
      </w:r>
    </w:p>
    <w:p>
      <w:pPr>
        <w:numPr>
          <w:ilvl w:val="0"/>
          <w:numId w:val="2"/>
        </w:numPr>
        <w:bidi w:val="0"/>
        <w:spacing w:after="0" w:afterAutospacing="0"/>
        <w:ind w:left="720"/>
        <w:rPr>
          <w:rtl w:val="0"/>
        </w:rPr>
      </w:pPr>
      <w:r>
        <w:rPr>
          <w:rtl w:val="0"/>
        </w:rPr>
        <w:t xml:space="preserve">A </w:t>
      </w:r>
      <w:r>
        <w:rPr>
          <w:i/>
          <w:iCs/>
          <w:rtl w:val="0"/>
        </w:rPr>
        <w:t>larger</w:t>
      </w:r>
      <w:r>
        <w:rPr>
          <w:rtl w:val="0"/>
        </w:rPr>
        <w:t xml:space="preserve"> percentage of persons employed as Technicians and Trades Workers (10.7% compared to 9.0%)</w:t>
      </w:r>
    </w:p>
    <w:p>
      <w:pPr>
        <w:numPr>
          <w:ilvl w:val="0"/>
          <w:numId w:val="2"/>
        </w:numPr>
        <w:bidi w:val="0"/>
        <w:spacing w:after="0" w:afterAutospacing="0"/>
        <w:ind w:left="720"/>
        <w:rPr>
          <w:rtl w:val="0"/>
        </w:rPr>
      </w:pPr>
      <w:r>
        <w:rPr>
          <w:rtl w:val="0"/>
        </w:rPr>
        <w:t xml:space="preserve">A </w:t>
      </w:r>
      <w:r>
        <w:rPr>
          <w:i/>
          <w:iCs/>
          <w:rtl w:val="0"/>
        </w:rPr>
        <w:t>smaller</w:t>
      </w:r>
      <w:r>
        <w:rPr>
          <w:rtl w:val="0"/>
        </w:rPr>
        <w:t xml:space="preserve"> percentage of persons employed as Professionals (33.0% compared to 35.0%)</w:t>
      </w:r>
    </w:p>
    <w:p>
      <w:pPr>
        <w:numPr>
          <w:ilvl w:val="0"/>
          <w:numId w:val="2"/>
        </w:numPr>
        <w:bidi w:val="0"/>
        <w:spacing w:after="280" w:afterAutospacing="1"/>
        <w:ind w:left="720"/>
        <w:rPr>
          <w:rtl w:val="0"/>
        </w:rPr>
      </w:pPr>
      <w:r>
        <w:rPr>
          <w:rtl w:val="0"/>
        </w:rPr>
        <w:t xml:space="preserve">A </w:t>
      </w:r>
      <w:r>
        <w:rPr>
          <w:i/>
          <w:iCs/>
          <w:rtl w:val="0"/>
        </w:rPr>
        <w:t>smaller</w:t>
      </w:r>
      <w:r>
        <w:rPr>
          <w:rtl w:val="0"/>
        </w:rPr>
        <w:t xml:space="preserve"> percentage of persons employed as Machinery Operators And Drivers (3.0% compared to 4.8%)</w:t>
      </w:r>
    </w:p>
    <w:p w:rsidR="001A6775">
      <w:pPr>
        <w:bidi w:val="0"/>
        <w:spacing w:after="280" w:afterAutospacing="1"/>
      </w:pPr>
      <w:r>
        <w:rPr>
          <w:rtl w:val="0"/>
        </w:rPr>
        <w:t>The number of employed people in North Rocks increased by 456 between 2016 and 2021.</w:t>
      </w:r>
    </w:p>
    <w:p>
      <w:pPr>
        <w:bidi w:val="0"/>
        <w:spacing w:after="280" w:afterAutospacing="1"/>
        <w:rPr>
          <w:rtl w:val="0"/>
        </w:rPr>
      </w:pPr>
      <w:r>
        <w:rPr>
          <w:rtl w:val="0"/>
        </w:rPr>
        <w:t>The largest changes in the occupations of residents between 2016 and 2021 in North Rocks were for those employed as:</w:t>
      </w:r>
    </w:p>
    <w:p>
      <w:pPr>
        <w:numPr>
          <w:ilvl w:val="0"/>
          <w:numId w:val="3"/>
        </w:numPr>
        <w:bidi w:val="0"/>
        <w:spacing w:after="0" w:afterAutospacing="0"/>
        <w:rPr>
          <w:rtl w:val="0"/>
        </w:rPr>
      </w:pPr>
      <w:r>
        <w:rPr>
          <w:rtl w:val="0"/>
        </w:rPr>
        <w:t>Managers (+120 persons)</w:t>
      </w:r>
    </w:p>
    <w:p>
      <w:pPr>
        <w:numPr>
          <w:ilvl w:val="0"/>
          <w:numId w:val="3"/>
        </w:numPr>
        <w:bidi w:val="0"/>
        <w:spacing w:after="0" w:afterAutospacing="0"/>
        <w:ind w:left="720"/>
        <w:rPr>
          <w:rtl w:val="0"/>
        </w:rPr>
      </w:pPr>
      <w:r>
        <w:rPr>
          <w:rtl w:val="0"/>
        </w:rPr>
        <w:t>Professionals (+108 persons)</w:t>
      </w:r>
    </w:p>
    <w:p>
      <w:pPr>
        <w:numPr>
          <w:ilvl w:val="0"/>
          <w:numId w:val="3"/>
        </w:numPr>
        <w:bidi w:val="0"/>
        <w:spacing w:after="280" w:afterAutospacing="1"/>
        <w:ind w:left="720"/>
        <w:rPr>
          <w:rtl w:val="0"/>
        </w:rPr>
      </w:pPr>
      <w:r>
        <w:rPr>
          <w:rtl w:val="0"/>
        </w:rPr>
        <w:t>Clerical and Administrative Workers (+78 persons)</w:t>
      </w:r>
    </w:p>
    <w:p w:rsidR="001A6775">
      <w:pPr>
        <w:bidi w:val="0"/>
        <w:spacing w:after="280" w:afterAutospacing="1"/>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