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Parramatta</w:t>
      </w:r>
    </w:p>
    <w:p w:rsidR="001A6775">
      <w:pPr>
        <w:pStyle w:val="Heading4"/>
        <w:bidi w:val="0"/>
        <w:spacing w:after="280" w:afterAutospacing="1"/>
      </w:pPr>
      <w:r>
        <w:rPr>
          <w:rtl w:val="0"/>
        </w:rPr>
        <w:t>Housing rental quartiles</w:t>
      </w:r>
    </w:p>
    <w:p w:rsidR="001A6775">
      <w:pPr>
        <w:bidi w:val="0"/>
        <w:spacing w:after="280" w:afterAutospacing="1"/>
      </w:pPr>
      <w:r>
        <w:rPr>
          <w:rtl w:val="0"/>
        </w:rPr>
        <w:t xml:space="preserve">Rental payments in North Rocks are indicative of its residential role and function and are directly related to the value of residential property. When viewed with </w:t>
      </w:r>
      <w:r>
        <w:rPr>
          <w:rtl w:val="0"/>
        </w:rPr>
        <w:fldChar w:fldCharType="begin"/>
      </w:r>
      <w:r>
        <w:rPr>
          <w:rtl w:val="0"/>
        </w:rPr>
        <w:instrText xml:space="preserve"> HYPERLINK "household-income?[QS]" </w:instrText>
      </w:r>
      <w:r>
        <w:rPr>
          <w:rtl w:val="0"/>
        </w:rPr>
        <w:fldChar w:fldCharType="separate"/>
      </w:r>
      <w:r>
        <w:rPr>
          <w:color w:val="0000FF"/>
          <w:u w:val="single"/>
          <w:rtl w:val="0"/>
        </w:rPr>
        <w:t>Household Income</w:t>
      </w:r>
      <w:r>
        <w:rPr>
          <w:rtl w:val="0"/>
        </w:rPr>
        <w:fldChar w:fldCharType="end"/>
      </w:r>
      <w:r>
        <w:rPr>
          <w:rtl w:val="0"/>
        </w:rPr>
        <w:t xml:space="preserve"> data they may also indicate the level of 'housing stress' in the community.</w:t>
      </w:r>
    </w:p>
    <w:p>
      <w:pPr>
        <w:bidi w:val="0"/>
        <w:spacing w:after="280" w:afterAutospacing="1"/>
      </w:pPr>
      <w:r>
        <w:rPr>
          <w:rtl w:val="0"/>
        </w:rPr>
        <w:t>The quartile method is the most objective method of comparing change in the rental costs of a community over time.</w:t>
      </w:r>
    </w:p>
    <w:p>
      <w:pPr>
        <w:bidi w:val="0"/>
        <w:spacing w:after="280" w:afterAutospacing="1"/>
      </w:pPr>
      <w:r>
        <w:rPr>
          <w:rtl w:val="0"/>
        </w:rPr>
        <w:t xml:space="preserve">A detailed explanation of how Housing Rental Payment quartiles are calculated and interpreted is available in </w:t>
      </w:r>
      <w:r>
        <w:rPr>
          <w:rtl w:val="0"/>
        </w:rPr>
        <w:fldChar w:fldCharType="begin"/>
      </w:r>
      <w:r>
        <w:rPr>
          <w:rtl w:val="0"/>
        </w:rPr>
        <w:instrText xml:space="preserve"> HYPERLINK "topic-notes?[QS]" \l "housing-rental-quartiles" </w:instrText>
      </w:r>
      <w:r>
        <w:rPr>
          <w:rtl w:val="0"/>
        </w:rPr>
        <w:fldChar w:fldCharType="separate"/>
      </w:r>
      <w:r>
        <w:rPr>
          <w:color w:val="0000FF"/>
          <w:u w:val="single"/>
          <w:rtl w:val="0"/>
        </w:rPr>
        <w:t>specific data notes</w:t>
      </w:r>
      <w:r>
        <w:rPr>
          <w:rtl w:val="0"/>
        </w:rPr>
        <w:fldChar w:fldCharType="end"/>
      </w:r>
      <w:r>
        <w:rPr>
          <w:rtl w:val="0"/>
        </w:rPr>
        <w:t>.</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Housing rental quartiles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North Rocks - Households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Quartile group</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Parramatta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Parramatta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Lowest group</w:t>
            </w:r>
          </w:p>
        </w:tc>
        <w:tc>
          <w:tcPr>
            <w:vAlign w:val="center"/>
          </w:tcPr>
          <w:p w:rsidR="001A6775">
            <w:pPr>
              <w:bidi w:val="0"/>
              <w:spacing w:after="0" w:afterAutospacing="1"/>
              <w:jc w:val="right"/>
              <w:rPr>
                <w:b w:val="0"/>
                <w:sz w:val="20"/>
              </w:rPr>
            </w:pPr>
            <w:r>
              <w:rPr>
                <w:b w:val="0"/>
                <w:sz w:val="20"/>
              </w:rPr>
              <w:t>23</w:t>
            </w:r>
          </w:p>
        </w:tc>
        <w:tc>
          <w:tcPr>
            <w:vAlign w:val="center"/>
          </w:tcPr>
          <w:p w:rsidR="001A6775">
            <w:pPr>
              <w:bidi w:val="0"/>
              <w:spacing w:after="0" w:afterAutospacing="1"/>
              <w:jc w:val="right"/>
              <w:rPr>
                <w:b w:val="0"/>
                <w:sz w:val="20"/>
              </w:rPr>
            </w:pPr>
            <w:r>
              <w:rPr>
                <w:b w:val="0"/>
                <w:sz w:val="20"/>
              </w:rPr>
              <w:t>3.4</w:t>
            </w:r>
          </w:p>
        </w:tc>
        <w:tc>
          <w:tcPr>
            <w:vAlign w:val="center"/>
          </w:tcPr>
          <w:p w:rsidR="001A6775">
            <w:pPr>
              <w:bidi w:val="0"/>
              <w:spacing w:after="0" w:afterAutospacing="1"/>
              <w:jc w:val="right"/>
              <w:rPr>
                <w:b w:val="0"/>
                <w:sz w:val="20"/>
              </w:rPr>
            </w:pPr>
            <w:r>
              <w:rPr>
                <w:b w:val="0"/>
                <w:sz w:val="20"/>
              </w:rPr>
              <w:t>14.8</w:t>
            </w:r>
          </w:p>
        </w:tc>
        <w:tc>
          <w:tcPr>
            <w:vAlign w:val="center"/>
          </w:tcPr>
          <w:p w:rsidR="001A6775">
            <w:pPr>
              <w:bidi w:val="0"/>
              <w:spacing w:after="0" w:afterAutospacing="1"/>
              <w:jc w:val="right"/>
              <w:rPr>
                <w:b w:val="0"/>
                <w:sz w:val="20"/>
              </w:rPr>
            </w:pPr>
            <w:r>
              <w:rPr>
                <w:b w:val="0"/>
                <w:sz w:val="20"/>
              </w:rPr>
              <w:t>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14.1</w:t>
            </w:r>
          </w:p>
        </w:tc>
        <w:tc>
          <w:tcPr>
            <w:vAlign w:val="center"/>
          </w:tcPr>
          <w:p w:rsidR="001A6775">
            <w:pPr>
              <w:bidi w:val="0"/>
              <w:spacing w:after="0" w:afterAutospacing="1"/>
              <w:jc w:val="right"/>
              <w:rPr>
                <w:b w:val="0"/>
                <w:sz w:val="20"/>
              </w:rPr>
            </w:pPr>
            <w:r>
              <w:rPr>
                <w:b w:val="0"/>
                <w:sz w:val="20"/>
              </w:rPr>
              <w:t>+24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lowest</w:t>
            </w:r>
          </w:p>
        </w:tc>
        <w:tc>
          <w:tcPr>
            <w:vAlign w:val="center"/>
          </w:tcPr>
          <w:p w:rsidR="001A6775">
            <w:pPr>
              <w:bidi w:val="0"/>
              <w:spacing w:after="0" w:afterAutospacing="1"/>
              <w:jc w:val="right"/>
              <w:rPr>
                <w:b w:val="0"/>
                <w:sz w:val="20"/>
              </w:rPr>
            </w:pPr>
            <w:r>
              <w:rPr>
                <w:b w:val="0"/>
                <w:sz w:val="20"/>
              </w:rPr>
              <w:t>96</w:t>
            </w:r>
          </w:p>
        </w:tc>
        <w:tc>
          <w:tcPr>
            <w:vAlign w:val="center"/>
          </w:tcPr>
          <w:p w:rsidR="001A6775">
            <w:pPr>
              <w:bidi w:val="0"/>
              <w:spacing w:after="0" w:afterAutospacing="1"/>
              <w:jc w:val="right"/>
              <w:rPr>
                <w:b w:val="0"/>
                <w:sz w:val="20"/>
              </w:rPr>
            </w:pPr>
            <w:r>
              <w:rPr>
                <w:b w:val="0"/>
                <w:sz w:val="20"/>
              </w:rPr>
              <w:t>13.9</w:t>
            </w:r>
          </w:p>
        </w:tc>
        <w:tc>
          <w:tcPr>
            <w:vAlign w:val="center"/>
          </w:tcPr>
          <w:p w:rsidR="001A6775">
            <w:pPr>
              <w:bidi w:val="0"/>
              <w:spacing w:after="0" w:afterAutospacing="1"/>
              <w:jc w:val="right"/>
              <w:rPr>
                <w:b w:val="0"/>
                <w:sz w:val="20"/>
              </w:rPr>
            </w:pPr>
            <w:r>
              <w:rPr>
                <w:b w:val="0"/>
                <w:sz w:val="20"/>
              </w:rPr>
              <w:t>25.8</w:t>
            </w:r>
          </w:p>
        </w:tc>
        <w:tc>
          <w:tcPr>
            <w:vAlign w:val="center"/>
          </w:tcPr>
          <w:p w:rsidR="001A6775">
            <w:pPr>
              <w:bidi w:val="0"/>
              <w:spacing w:after="0" w:afterAutospacing="1"/>
              <w:jc w:val="right"/>
              <w:rPr>
                <w:b w:val="0"/>
                <w:sz w:val="20"/>
              </w:rPr>
            </w:pPr>
            <w:r>
              <w:rPr>
                <w:b w:val="0"/>
                <w:sz w:val="20"/>
              </w:rPr>
              <w:t>2</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15.9</w:t>
            </w:r>
          </w:p>
        </w:tc>
        <w:tc>
          <w:tcPr>
            <w:vAlign w:val="center"/>
          </w:tcPr>
          <w:p w:rsidR="001A6775">
            <w:pPr>
              <w:bidi w:val="0"/>
              <w:spacing w:after="0" w:afterAutospacing="1"/>
              <w:jc w:val="right"/>
              <w:rPr>
                <w:b w:val="0"/>
                <w:sz w:val="20"/>
              </w:rPr>
            </w:pPr>
            <w:r>
              <w:rPr>
                <w:b w:val="0"/>
                <w:sz w:val="20"/>
              </w:rPr>
              <w:t>+94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highest</w:t>
            </w:r>
          </w:p>
        </w:tc>
        <w:tc>
          <w:tcPr>
            <w:vAlign w:val="center"/>
          </w:tcPr>
          <w:p w:rsidR="001A6775">
            <w:pPr>
              <w:bidi w:val="0"/>
              <w:spacing w:after="0" w:afterAutospacing="1"/>
              <w:jc w:val="right"/>
              <w:rPr>
                <w:b w:val="0"/>
                <w:sz w:val="20"/>
              </w:rPr>
            </w:pPr>
            <w:r>
              <w:rPr>
                <w:b w:val="0"/>
                <w:sz w:val="20"/>
              </w:rPr>
              <w:t>330</w:t>
            </w:r>
          </w:p>
        </w:tc>
        <w:tc>
          <w:tcPr>
            <w:vAlign w:val="center"/>
          </w:tcPr>
          <w:p w:rsidR="001A6775">
            <w:pPr>
              <w:bidi w:val="0"/>
              <w:spacing w:after="0" w:afterAutospacing="1"/>
              <w:jc w:val="right"/>
              <w:rPr>
                <w:b w:val="0"/>
                <w:sz w:val="20"/>
              </w:rPr>
            </w:pPr>
            <w:r>
              <w:rPr>
                <w:b w:val="0"/>
                <w:sz w:val="20"/>
              </w:rPr>
              <w:t>47.6</w:t>
            </w:r>
          </w:p>
        </w:tc>
        <w:tc>
          <w:tcPr>
            <w:vAlign w:val="center"/>
          </w:tcPr>
          <w:p w:rsidR="001A6775">
            <w:pPr>
              <w:bidi w:val="0"/>
              <w:spacing w:after="0" w:afterAutospacing="1"/>
              <w:jc w:val="right"/>
              <w:rPr>
                <w:b w:val="0"/>
                <w:sz w:val="20"/>
              </w:rPr>
            </w:pPr>
            <w:r>
              <w:rPr>
                <w:b w:val="0"/>
                <w:sz w:val="20"/>
              </w:rPr>
              <w:t>38.5</w:t>
            </w:r>
          </w:p>
        </w:tc>
        <w:tc>
          <w:tcPr>
            <w:vAlign w:val="center"/>
          </w:tcPr>
          <w:p w:rsidR="001A6775">
            <w:pPr>
              <w:bidi w:val="0"/>
              <w:spacing w:after="0" w:afterAutospacing="1"/>
              <w:jc w:val="right"/>
              <w:rPr>
                <w:b w:val="0"/>
                <w:sz w:val="20"/>
              </w:rPr>
            </w:pPr>
            <w:r>
              <w:rPr>
                <w:b w:val="0"/>
                <w:sz w:val="20"/>
              </w:rPr>
              <w:t>102</w:t>
            </w:r>
          </w:p>
        </w:tc>
        <w:tc>
          <w:tcPr>
            <w:vAlign w:val="center"/>
          </w:tcPr>
          <w:p w:rsidR="001A6775">
            <w:pPr>
              <w:bidi w:val="0"/>
              <w:spacing w:after="0" w:afterAutospacing="1"/>
              <w:jc w:val="right"/>
              <w:rPr>
                <w:b w:val="0"/>
                <w:sz w:val="20"/>
              </w:rPr>
            </w:pPr>
            <w:r>
              <w:rPr>
                <w:b w:val="0"/>
                <w:sz w:val="20"/>
              </w:rPr>
              <w:t>36.4</w:t>
            </w:r>
          </w:p>
        </w:tc>
        <w:tc>
          <w:tcPr>
            <w:vAlign w:val="center"/>
          </w:tcPr>
          <w:p w:rsidR="001A6775">
            <w:pPr>
              <w:bidi w:val="0"/>
              <w:spacing w:after="0" w:afterAutospacing="1"/>
              <w:jc w:val="right"/>
              <w:rPr>
                <w:b w:val="0"/>
                <w:sz w:val="20"/>
              </w:rPr>
            </w:pPr>
            <w:r>
              <w:rPr>
                <w:b w:val="0"/>
                <w:sz w:val="20"/>
              </w:rPr>
              <w:t>43.5</w:t>
            </w:r>
          </w:p>
        </w:tc>
        <w:tc>
          <w:tcPr>
            <w:vAlign w:val="center"/>
          </w:tcPr>
          <w:p w:rsidR="001A6775">
            <w:pPr>
              <w:bidi w:val="0"/>
              <w:spacing w:after="0" w:afterAutospacing="1"/>
              <w:jc w:val="right"/>
              <w:rPr>
                <w:b w:val="0"/>
                <w:sz w:val="20"/>
              </w:rPr>
            </w:pPr>
            <w:r>
              <w:rPr>
                <w:b w:val="0"/>
                <w:sz w:val="20"/>
              </w:rPr>
              <w:t>+228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Highest group</w:t>
            </w:r>
          </w:p>
        </w:tc>
        <w:tc>
          <w:tcPr>
            <w:vAlign w:val="center"/>
          </w:tcPr>
          <w:p w:rsidR="001A6775">
            <w:pPr>
              <w:bidi w:val="0"/>
              <w:spacing w:after="0" w:afterAutospacing="1"/>
              <w:jc w:val="right"/>
              <w:rPr>
                <w:b w:val="0"/>
                <w:sz w:val="20"/>
              </w:rPr>
            </w:pPr>
            <w:r>
              <w:rPr>
                <w:b w:val="0"/>
                <w:sz w:val="20"/>
              </w:rPr>
              <w:t>243</w:t>
            </w:r>
          </w:p>
        </w:tc>
        <w:tc>
          <w:tcPr>
            <w:vAlign w:val="center"/>
          </w:tcPr>
          <w:p w:rsidR="001A6775">
            <w:pPr>
              <w:bidi w:val="0"/>
              <w:spacing w:after="0" w:afterAutospacing="1"/>
              <w:jc w:val="right"/>
              <w:rPr>
                <w:b w:val="0"/>
                <w:sz w:val="20"/>
              </w:rPr>
            </w:pPr>
            <w:r>
              <w:rPr>
                <w:b w:val="0"/>
                <w:sz w:val="20"/>
              </w:rPr>
              <w:t>35.1</w:t>
            </w:r>
          </w:p>
        </w:tc>
        <w:tc>
          <w:tcPr>
            <w:vAlign w:val="center"/>
          </w:tcPr>
          <w:p w:rsidR="001A6775">
            <w:pPr>
              <w:bidi w:val="0"/>
              <w:spacing w:after="0" w:afterAutospacing="1"/>
              <w:jc w:val="right"/>
              <w:rPr>
                <w:b w:val="0"/>
                <w:sz w:val="20"/>
              </w:rPr>
            </w:pPr>
            <w:r>
              <w:rPr>
                <w:b w:val="0"/>
                <w:sz w:val="20"/>
              </w:rPr>
              <w:t>20.9</w:t>
            </w:r>
          </w:p>
        </w:tc>
        <w:tc>
          <w:tcPr>
            <w:vAlign w:val="center"/>
          </w:tcPr>
          <w:p w:rsidR="001A6775">
            <w:pPr>
              <w:bidi w:val="0"/>
              <w:spacing w:after="0" w:afterAutospacing="1"/>
              <w:jc w:val="right"/>
              <w:rPr>
                <w:b w:val="0"/>
                <w:sz w:val="20"/>
              </w:rPr>
            </w:pPr>
            <w:r>
              <w:rPr>
                <w:b w:val="0"/>
                <w:sz w:val="20"/>
              </w:rPr>
              <w:t>176</w:t>
            </w:r>
          </w:p>
        </w:tc>
        <w:tc>
          <w:tcPr>
            <w:vAlign w:val="center"/>
          </w:tcPr>
          <w:p w:rsidR="001A6775">
            <w:pPr>
              <w:bidi w:val="0"/>
              <w:spacing w:after="0" w:afterAutospacing="1"/>
              <w:jc w:val="right"/>
              <w:rPr>
                <w:b w:val="0"/>
                <w:sz w:val="20"/>
              </w:rPr>
            </w:pPr>
            <w:r>
              <w:rPr>
                <w:b w:val="0"/>
                <w:sz w:val="20"/>
              </w:rPr>
              <w:t>62.8</w:t>
            </w:r>
          </w:p>
        </w:tc>
        <w:tc>
          <w:tcPr>
            <w:vAlign w:val="center"/>
          </w:tcPr>
          <w:p w:rsidR="001A6775">
            <w:pPr>
              <w:bidi w:val="0"/>
              <w:spacing w:after="0" w:afterAutospacing="1"/>
              <w:jc w:val="right"/>
              <w:rPr>
                <w:b w:val="0"/>
                <w:sz w:val="20"/>
              </w:rPr>
            </w:pPr>
            <w:r>
              <w:rPr>
                <w:b w:val="0"/>
                <w:sz w:val="20"/>
              </w:rPr>
              <w:t>26.5</w:t>
            </w:r>
          </w:p>
        </w:tc>
        <w:tc>
          <w:tcPr>
            <w:vAlign w:val="center"/>
          </w:tcPr>
          <w:p w:rsidR="001A6775">
            <w:pPr>
              <w:bidi w:val="0"/>
              <w:spacing w:after="0" w:afterAutospacing="1"/>
              <w:jc w:val="right"/>
              <w:rPr>
                <w:b w:val="0"/>
                <w:sz w:val="20"/>
              </w:rPr>
            </w:pPr>
            <w:r>
              <w:rPr>
                <w:b w:val="0"/>
                <w:sz w:val="20"/>
              </w:rPr>
              <w:t>+67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households with stated rent</w:t>
            </w:r>
          </w:p>
        </w:tc>
        <w:tc>
          <w:tcPr>
            <w:vAlign w:val="center"/>
          </w:tcPr>
          <w:p w:rsidR="001A6775">
            <w:pPr>
              <w:bidi w:val="0"/>
              <w:spacing w:after="0" w:afterAutospacing="1"/>
              <w:jc w:val="right"/>
              <w:rPr>
                <w:b/>
                <w:sz w:val="20"/>
              </w:rPr>
            </w:pPr>
            <w:r>
              <w:rPr>
                <w:b/>
                <w:sz w:val="20"/>
              </w:rPr>
              <w:t>694</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281</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+412</w:t>
            </w:r>
          </w:p>
        </w:tc>
      </w:tr>
    </w:tbl>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Housing rental - Quartile group dollar ranges</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Calculated from rental payment data for [theQBMQuartile]</w:t>
            </w:r>
          </w:p>
        </w:tc>
        <w:tc>
          <w:tcPr>
            <w:hMerge w:val="restart"/>
          </w:tcPr>
          <w:p w:rsidR="001A6775">
            <w:pPr>
              <w:bidi w:val="0"/>
              <w:spacing w:after="0" w:afterAutospacing="1"/>
              <w:jc w:val="center"/>
              <w:rPr>
                <w:b/>
                <w:sz w:val="20"/>
              </w:rPr>
            </w:pPr>
            <w:r>
              <w:rPr>
                <w:b/>
                <w:sz w:val="30"/>
              </w:rPr>
              <w:t>Weekly housing rental payments by Census year</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Rental payment ranges</w:t>
            </w:r>
          </w:p>
        </w:tc>
        <w:tc>
          <w:tcPr>
            <w:vAlign w:val="center"/>
          </w:tcPr>
          <w:p w:rsidR="001A6775">
            <w:pPr>
              <w:bidi w:val="0"/>
              <w:spacing w:after="0" w:afterAutospacing="1"/>
              <w:jc w:val="right"/>
              <w:rPr>
                <w:b/>
                <w:sz w:val="20"/>
              </w:rPr>
            </w:pPr>
            <w:r>
              <w:rPr>
                <w:b/>
                <w:sz w:val="20"/>
              </w:rPr>
              <w:t>2021</w:t>
            </w:r>
          </w:p>
        </w:tc>
        <w:tc>
          <w:tcPr>
            <w:vAlign w:val="center"/>
          </w:tcPr>
          <w:p w:rsidR="001A6775">
            <w:pPr>
              <w:bidi w:val="0"/>
              <w:spacing w:after="0" w:afterAutospacing="1"/>
              <w:jc w:val="right"/>
              <w:rPr>
                <w:b/>
                <w:sz w:val="20"/>
              </w:rPr>
            </w:pPr>
            <w:r>
              <w:rPr>
                <w:b/>
                <w:sz w:val="20"/>
              </w:rPr>
              <w:t>2016</w:t>
            </w:r>
          </w:p>
        </w:tc>
        <w:tc>
          <w:tcPr>
            <w:vAlign w:val="center"/>
          </w:tcPr>
          <w:p w:rsidR="001A6775">
            <w:pPr>
              <w:bidi w:val="0"/>
              <w:spacing w:after="0" w:afterAutospacing="1"/>
              <w:jc w:val="right"/>
              <w:rPr>
                <w:b/>
                <w:sz w:val="20"/>
              </w:rPr>
            </w:pPr>
            <w:r>
              <w:rPr>
                <w:b/>
                <w:sz w:val="20"/>
              </w:rPr>
              <w:t>2011</w:t>
            </w:r>
          </w:p>
        </w:tc>
        <w:tc>
          <w:tcPr>
            <w:vAlign w:val="center"/>
          </w:tcPr>
          <w:p w:rsidR="001A6775">
            <w:pPr>
              <w:bidi w:val="0"/>
              <w:spacing w:after="0" w:afterAutospacing="1"/>
              <w:jc w:val="right"/>
              <w:rPr>
                <w:b/>
                <w:sz w:val="20"/>
              </w:rPr>
            </w:pPr>
            <w:r>
              <w:rPr>
                <w:b/>
                <w:sz w:val="20"/>
              </w:rPr>
              <w:t>2006</w:t>
            </w:r>
          </w:p>
        </w:tc>
        <w:tc>
          <w:tcPr>
            <w:vAlign w:val="center"/>
          </w:tcPr>
          <w:p w:rsidR="001A6775">
            <w:pPr>
              <w:bidi w:val="0"/>
              <w:spacing w:after="0" w:afterAutospacing="1"/>
              <w:jc w:val="right"/>
              <w:rPr>
                <w:b/>
                <w:sz w:val="20"/>
              </w:rPr>
            </w:pPr>
            <w:r>
              <w:rPr>
                <w:b/>
                <w:sz w:val="20"/>
              </w:rPr>
              <w:t>2001</w:t>
            </w:r>
          </w:p>
        </w:tc>
        <w:tc>
          <w:tcPr>
            <w:vAlign w:val="center"/>
          </w:tcPr>
          <w:p w:rsidR="001A6775">
            <w:pPr>
              <w:bidi w:val="0"/>
              <w:spacing w:after="0" w:afterAutospacing="1"/>
              <w:jc w:val="right"/>
              <w:rPr>
                <w:b/>
                <w:sz w:val="20"/>
              </w:rPr>
            </w:pPr>
            <w:r>
              <w:rPr>
                <w:b/>
                <w:sz w:val="20"/>
              </w:rPr>
              <w:t>1996</w:t>
            </w:r>
          </w:p>
        </w:tc>
        <w:tc>
          <w:tcPr>
            <w:vAlign w:val="center"/>
          </w:tcPr>
          <w:p w:rsidR="001A6775">
            <w:pPr>
              <w:bidi w:val="0"/>
              <w:spacing w:after="0" w:afterAutospacing="1"/>
              <w:jc w:val="right"/>
              <w:rPr>
                <w:b/>
                <w:sz w:val="20"/>
              </w:rPr>
            </w:pPr>
            <w:r>
              <w:rPr>
                <w:b/>
                <w:sz w:val="20"/>
              </w:rPr>
              <w:t>1991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Lowest group</w:t>
            </w:r>
          </w:p>
        </w:tc>
        <w:tc>
          <w:tcPr>
            <w:vAlign w:val="center"/>
          </w:tcPr>
          <w:p w:rsidR="001A6775">
            <w:pPr>
              <w:bidi w:val="0"/>
              <w:spacing w:after="0" w:afterAutospacing="1"/>
              <w:jc w:val="left"/>
              <w:rPr>
                <w:b w:val="0"/>
                <w:sz w:val="20"/>
              </w:rPr>
            </w:pPr>
            <w:r>
              <w:rPr>
                <w:b w:val="0"/>
                <w:sz w:val="20"/>
              </w:rPr>
              <w:t>$0 to $314</w:t>
            </w:r>
          </w:p>
        </w:tc>
        <w:tc>
          <w:tcPr>
            <w:vAlign w:val="center"/>
          </w:tcPr>
          <w:p w:rsidR="001A6775">
            <w:pPr>
              <w:bidi w:val="0"/>
              <w:spacing w:after="0" w:afterAutospacing="1"/>
              <w:jc w:val="left"/>
              <w:rPr>
                <w:b w:val="0"/>
                <w:sz w:val="20"/>
              </w:rPr>
            </w:pPr>
            <w:r>
              <w:rPr>
                <w:b w:val="0"/>
                <w:sz w:val="20"/>
              </w:rPr>
              <w:t>$0 to $266</w:t>
            </w:r>
          </w:p>
        </w:tc>
        <w:tc>
          <w:tcPr>
            <w:vAlign w:val="center"/>
          </w:tcPr>
          <w:p w:rsidR="001A6775">
            <w:pPr>
              <w:bidi w:val="0"/>
              <w:spacing w:after="0" w:afterAutospacing="1"/>
              <w:jc w:val="left"/>
              <w:rPr>
                <w:b w:val="0"/>
                <w:sz w:val="20"/>
              </w:rPr>
            </w:pPr>
            <w:r>
              <w:rPr>
                <w:b w:val="0"/>
                <w:sz w:val="20"/>
              </w:rPr>
              <w:t>$0 to $202</w:t>
            </w:r>
          </w:p>
        </w:tc>
        <w:tc>
          <w:tcPr>
            <w:vAlign w:val="center"/>
          </w:tcPr>
          <w:p w:rsidR="001A6775">
            <w:pPr>
              <w:bidi w:val="0"/>
              <w:spacing w:after="0" w:afterAutospacing="1"/>
              <w:jc w:val="left"/>
              <w:rPr>
                <w:b w:val="0"/>
                <w:sz w:val="20"/>
              </w:rPr>
            </w:pPr>
            <w:r>
              <w:rPr>
                <w:b w:val="0"/>
                <w:sz w:val="20"/>
              </w:rPr>
              <w:t>$0 to $149</w:t>
            </w:r>
          </w:p>
        </w:tc>
        <w:tc>
          <w:tcPr>
            <w:vAlign w:val="center"/>
          </w:tcPr>
          <w:p w:rsidR="001A6775">
            <w:pPr>
              <w:bidi w:val="0"/>
              <w:spacing w:after="0" w:afterAutospacing="1"/>
              <w:jc w:val="left"/>
              <w:rPr>
                <w:b w:val="0"/>
                <w:sz w:val="20"/>
              </w:rPr>
            </w:pPr>
            <w:r>
              <w:rPr>
                <w:b w:val="0"/>
                <w:sz w:val="20"/>
              </w:rPr>
              <w:t>$0 to $114</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lowest</w:t>
            </w:r>
          </w:p>
        </w:tc>
        <w:tc>
          <w:tcPr>
            <w:vAlign w:val="center"/>
          </w:tcPr>
          <w:p w:rsidR="001A6775">
            <w:pPr>
              <w:bidi w:val="0"/>
              <w:spacing w:after="0" w:afterAutospacing="1"/>
              <w:jc w:val="left"/>
              <w:rPr>
                <w:b w:val="0"/>
                <w:sz w:val="20"/>
              </w:rPr>
            </w:pPr>
            <w:r>
              <w:rPr>
                <w:b w:val="0"/>
                <w:sz w:val="20"/>
              </w:rPr>
              <w:t>$315 to $432</w:t>
            </w:r>
          </w:p>
        </w:tc>
        <w:tc>
          <w:tcPr>
            <w:vAlign w:val="center"/>
          </w:tcPr>
          <w:p w:rsidR="001A6775">
            <w:pPr>
              <w:bidi w:val="0"/>
              <w:spacing w:after="0" w:afterAutospacing="1"/>
              <w:jc w:val="left"/>
              <w:rPr>
                <w:b w:val="0"/>
                <w:sz w:val="20"/>
              </w:rPr>
            </w:pPr>
            <w:r>
              <w:rPr>
                <w:b w:val="0"/>
                <w:sz w:val="20"/>
              </w:rPr>
              <w:t>$267 to $391</w:t>
            </w:r>
          </w:p>
        </w:tc>
        <w:tc>
          <w:tcPr>
            <w:vAlign w:val="center"/>
          </w:tcPr>
          <w:p w:rsidR="001A6775">
            <w:pPr>
              <w:bidi w:val="0"/>
              <w:spacing w:after="0" w:afterAutospacing="1"/>
              <w:jc w:val="left"/>
              <w:rPr>
                <w:b w:val="0"/>
                <w:sz w:val="20"/>
              </w:rPr>
            </w:pPr>
            <w:r>
              <w:rPr>
                <w:b w:val="0"/>
                <w:sz w:val="20"/>
              </w:rPr>
              <w:t>$203 to $311</w:t>
            </w:r>
          </w:p>
        </w:tc>
        <w:tc>
          <w:tcPr>
            <w:vAlign w:val="center"/>
          </w:tcPr>
          <w:p w:rsidR="001A6775">
            <w:pPr>
              <w:bidi w:val="0"/>
              <w:spacing w:after="0" w:afterAutospacing="1"/>
              <w:jc w:val="left"/>
              <w:rPr>
                <w:b w:val="0"/>
                <w:sz w:val="20"/>
              </w:rPr>
            </w:pPr>
            <w:r>
              <w:rPr>
                <w:b w:val="0"/>
                <w:sz w:val="20"/>
              </w:rPr>
              <w:t>$150 to $218</w:t>
            </w:r>
          </w:p>
        </w:tc>
        <w:tc>
          <w:tcPr>
            <w:vAlign w:val="center"/>
          </w:tcPr>
          <w:p w:rsidR="001A6775">
            <w:pPr>
              <w:bidi w:val="0"/>
              <w:spacing w:after="0" w:afterAutospacing="1"/>
              <w:jc w:val="left"/>
              <w:rPr>
                <w:b w:val="0"/>
                <w:sz w:val="20"/>
              </w:rPr>
            </w:pPr>
            <w:r>
              <w:rPr>
                <w:b w:val="0"/>
                <w:sz w:val="20"/>
              </w:rPr>
              <w:t>$115 to $179</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Medium highest</w:t>
            </w:r>
          </w:p>
        </w:tc>
        <w:tc>
          <w:tcPr>
            <w:vAlign w:val="center"/>
          </w:tcPr>
          <w:p w:rsidR="001A6775">
            <w:pPr>
              <w:bidi w:val="0"/>
              <w:spacing w:after="0" w:afterAutospacing="1"/>
              <w:jc w:val="left"/>
              <w:rPr>
                <w:b w:val="0"/>
                <w:sz w:val="20"/>
              </w:rPr>
            </w:pPr>
            <w:r>
              <w:rPr>
                <w:b w:val="0"/>
                <w:sz w:val="20"/>
              </w:rPr>
              <w:t>$433 to $562</w:t>
            </w:r>
          </w:p>
        </w:tc>
        <w:tc>
          <w:tcPr>
            <w:vAlign w:val="center"/>
          </w:tcPr>
          <w:p w:rsidR="001A6775">
            <w:pPr>
              <w:bidi w:val="0"/>
              <w:spacing w:after="0" w:afterAutospacing="1"/>
              <w:jc w:val="left"/>
              <w:rPr>
                <w:b w:val="0"/>
                <w:sz w:val="20"/>
              </w:rPr>
            </w:pPr>
            <w:r>
              <w:rPr>
                <w:b w:val="0"/>
                <w:sz w:val="20"/>
              </w:rPr>
              <w:t>$392 to $529</w:t>
            </w:r>
          </w:p>
        </w:tc>
        <w:tc>
          <w:tcPr>
            <w:vAlign w:val="center"/>
          </w:tcPr>
          <w:p w:rsidR="001A6775">
            <w:pPr>
              <w:bidi w:val="0"/>
              <w:spacing w:after="0" w:afterAutospacing="1"/>
              <w:jc w:val="left"/>
              <w:rPr>
                <w:b w:val="0"/>
                <w:sz w:val="20"/>
              </w:rPr>
            </w:pPr>
            <w:r>
              <w:rPr>
                <w:b w:val="0"/>
                <w:sz w:val="20"/>
              </w:rPr>
              <w:t>$312 to $421</w:t>
            </w:r>
          </w:p>
        </w:tc>
        <w:tc>
          <w:tcPr>
            <w:vAlign w:val="center"/>
          </w:tcPr>
          <w:p w:rsidR="001A6775">
            <w:pPr>
              <w:bidi w:val="0"/>
              <w:spacing w:after="0" w:afterAutospacing="1"/>
              <w:jc w:val="left"/>
              <w:rPr>
                <w:b w:val="0"/>
                <w:sz w:val="20"/>
              </w:rPr>
            </w:pPr>
            <w:r>
              <w:rPr>
                <w:b w:val="0"/>
                <w:sz w:val="20"/>
              </w:rPr>
              <w:t>$219 to $306</w:t>
            </w:r>
          </w:p>
        </w:tc>
        <w:tc>
          <w:tcPr>
            <w:vAlign w:val="center"/>
          </w:tcPr>
          <w:p w:rsidR="001A6775">
            <w:pPr>
              <w:bidi w:val="0"/>
              <w:spacing w:after="0" w:afterAutospacing="1"/>
              <w:jc w:val="left"/>
              <w:rPr>
                <w:b w:val="0"/>
                <w:sz w:val="20"/>
              </w:rPr>
            </w:pPr>
            <w:r>
              <w:rPr>
                <w:b w:val="0"/>
                <w:sz w:val="20"/>
              </w:rPr>
              <w:t>$180 to $259</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Highest group</w:t>
            </w:r>
          </w:p>
        </w:tc>
        <w:tc>
          <w:tcPr>
            <w:vAlign w:val="center"/>
          </w:tcPr>
          <w:p w:rsidR="001A6775">
            <w:pPr>
              <w:bidi w:val="0"/>
              <w:spacing w:after="0" w:afterAutospacing="1"/>
              <w:jc w:val="left"/>
              <w:rPr>
                <w:b w:val="0"/>
                <w:sz w:val="20"/>
              </w:rPr>
            </w:pPr>
            <w:r>
              <w:rPr>
                <w:b w:val="0"/>
                <w:sz w:val="20"/>
              </w:rPr>
              <w:t>$563 and over</w:t>
            </w:r>
          </w:p>
        </w:tc>
        <w:tc>
          <w:tcPr>
            <w:vAlign w:val="center"/>
          </w:tcPr>
          <w:p w:rsidR="001A6775">
            <w:pPr>
              <w:bidi w:val="0"/>
              <w:spacing w:after="0" w:afterAutospacing="1"/>
              <w:jc w:val="left"/>
              <w:rPr>
                <w:b w:val="0"/>
                <w:sz w:val="20"/>
              </w:rPr>
            </w:pPr>
            <w:r>
              <w:rPr>
                <w:b w:val="0"/>
                <w:sz w:val="20"/>
              </w:rPr>
              <w:t>$530 and over</w:t>
            </w:r>
          </w:p>
        </w:tc>
        <w:tc>
          <w:tcPr>
            <w:vAlign w:val="center"/>
          </w:tcPr>
          <w:p w:rsidR="001A6775">
            <w:pPr>
              <w:bidi w:val="0"/>
              <w:spacing w:after="0" w:afterAutospacing="1"/>
              <w:jc w:val="left"/>
              <w:rPr>
                <w:b w:val="0"/>
                <w:sz w:val="20"/>
              </w:rPr>
            </w:pPr>
            <w:r>
              <w:rPr>
                <w:b w:val="0"/>
                <w:sz w:val="20"/>
              </w:rPr>
              <w:t>$422 and over</w:t>
            </w:r>
          </w:p>
        </w:tc>
        <w:tc>
          <w:tcPr>
            <w:vAlign w:val="center"/>
          </w:tcPr>
          <w:p w:rsidR="001A6775">
            <w:pPr>
              <w:bidi w:val="0"/>
              <w:spacing w:after="0" w:afterAutospacing="1"/>
              <w:jc w:val="left"/>
              <w:rPr>
                <w:b w:val="0"/>
                <w:sz w:val="20"/>
              </w:rPr>
            </w:pPr>
            <w:r>
              <w:rPr>
                <w:b w:val="0"/>
                <w:sz w:val="20"/>
              </w:rPr>
              <w:t>$307 and over</w:t>
            </w:r>
          </w:p>
        </w:tc>
        <w:tc>
          <w:tcPr>
            <w:vAlign w:val="center"/>
          </w:tcPr>
          <w:p w:rsidR="001A6775">
            <w:pPr>
              <w:bidi w:val="0"/>
              <w:spacing w:after="0" w:afterAutospacing="1"/>
              <w:jc w:val="left"/>
              <w:rPr>
                <w:b w:val="0"/>
                <w:sz w:val="20"/>
              </w:rPr>
            </w:pPr>
            <w:r>
              <w:rPr>
                <w:b w:val="0"/>
                <w:sz w:val="20"/>
              </w:rPr>
              <w:t>$260 and over</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Rental payment quartiles allow us to compare relative rental liabilities across time. Analysis of the distribution of households by rental payment quartiles in North Rocks compared to City of Parramatta shows that there was a larger proportion of households in the highest payment quartile, and a smaller proportion in the lowest payment quartile.</w:t>
      </w:r>
    </w:p>
    <w:p w:rsidR="001A6775">
      <w:pPr>
        <w:bidi w:val="0"/>
        <w:spacing w:after="280" w:afterAutospacing="1"/>
      </w:pPr>
      <w:r>
        <w:rPr>
          <w:rtl w:val="0"/>
        </w:rPr>
        <w:t>The total number of households renting their dwelling in North Rocks increased by 413 between 2016 and 2021. The most significant change during this period was in the medium highest quartile which showed an increase of 228 households.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