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Housing loan quartiles</w:t>
      </w:r>
    </w:p>
    <w:p w:rsidR="001A6775">
      <w:pPr>
        <w:bidi w:val="0"/>
        <w:spacing w:after="280" w:afterAutospacing="1"/>
      </w:pPr>
      <w:r>
        <w:rPr>
          <w:rtl w:val="0"/>
        </w:rPr>
        <w:t xml:space="preserve">Mortgage repayments in North Rocks are directly related to house prices, length of occupancy and the level of equity of home owners. When viewed with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data it may also indicate the level of housing stress in the community. </w:t>
      </w:r>
    </w:p>
    <w:p>
      <w:pPr>
        <w:bidi w:val="0"/>
        <w:spacing w:after="280" w:afterAutospacing="1"/>
      </w:pPr>
      <w:r>
        <w:rPr>
          <w:rtl w:val="0"/>
        </w:rPr>
        <w:t>The quartile method is the most objective method of comparing change in the mortgage payment profile of a community over time.</w:t>
      </w:r>
    </w:p>
    <w:p>
      <w:pPr>
        <w:bidi w:val="0"/>
        <w:spacing w:after="280" w:afterAutospacing="1"/>
      </w:pPr>
      <w:r>
        <w:rPr>
          <w:rtl w:val="0"/>
        </w:rPr>
        <w:t xml:space="preserve">A detailed explanation of how Housing Loan Repayment quartiles are calculated and interpreted is available in </w:t>
      </w:r>
      <w:r>
        <w:rPr>
          <w:rtl w:val="0"/>
        </w:rPr>
        <w:fldChar w:fldCharType="begin"/>
      </w:r>
      <w:r>
        <w:rPr>
          <w:rtl w:val="0"/>
        </w:rPr>
        <w:instrText xml:space="preserve"> HYPERLINK "topic-notes?[QS]" \l "housing-loan-quartiles" \t "blank" </w:instrText>
      </w:r>
      <w:r>
        <w:rPr>
          <w:rtl w:val="0"/>
        </w:rPr>
        <w:fldChar w:fldCharType="separate"/>
      </w:r>
      <w:r>
        <w:rPr>
          <w:color w:val="0000FF"/>
          <w:u w:val="single"/>
          <w:rtl w:val="0"/>
        </w:rPr>
        <w:t>specific data notes</w:t>
      </w:r>
      <w:r>
        <w:rPr>
          <w:rtl w:val="0"/>
        </w:rPr>
        <w:fldChar w:fldCharType="end"/>
      </w:r>
      <w:r>
        <w:rPr>
          <w:rtl w:val="0"/>
        </w:rPr>
        <w:t>.</w:t>
      </w:r>
    </w:p>
    <w:p>
      <w:pPr>
        <w:bidi w:val="0"/>
        <w:spacing w:after="280" w:afterAutospacing="1"/>
      </w:pPr>
      <w:r>
        <w:rPr>
          <w:rtl w:val="0"/>
        </w:rPr>
        <w:t>Please note, interest rates at the 2021 Census were at a record low in Australia. The first interest rate rises by the Reserve Bank began an upward cycle from May 2022. Please use mortgage payment data with caution as data from the 2021 Census pre-dates all official rate rises in the current cycle.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Housing loan quartiles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North Rocks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Loan repayment quartile group</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right"/>
              <w:rPr>
                <w:b w:val="0"/>
                <w:sz w:val="20"/>
              </w:rPr>
            </w:pPr>
            <w:r>
              <w:rPr>
                <w:b w:val="0"/>
                <w:sz w:val="20"/>
              </w:rPr>
              <w:t>182</w:t>
            </w:r>
          </w:p>
        </w:tc>
        <w:tc>
          <w:tcPr>
            <w:vAlign w:val="center"/>
          </w:tcPr>
          <w:p w:rsidR="001A6775">
            <w:pPr>
              <w:bidi w:val="0"/>
              <w:spacing w:after="0" w:afterAutospacing="1"/>
              <w:jc w:val="right"/>
              <w:rPr>
                <w:b w:val="0"/>
                <w:sz w:val="20"/>
              </w:rPr>
            </w:pPr>
            <w:r>
              <w:rPr>
                <w:b w:val="0"/>
                <w:sz w:val="20"/>
              </w:rPr>
              <w:t>18.0</w:t>
            </w:r>
          </w:p>
        </w:tc>
        <w:tc>
          <w:tcPr>
            <w:vAlign w:val="center"/>
          </w:tcPr>
          <w:p w:rsidR="001A6775">
            <w:pPr>
              <w:bidi w:val="0"/>
              <w:spacing w:after="0" w:afterAutospacing="1"/>
              <w:jc w:val="right"/>
              <w:rPr>
                <w:b w:val="0"/>
                <w:sz w:val="20"/>
              </w:rPr>
            </w:pPr>
            <w:r>
              <w:rPr>
                <w:b w:val="0"/>
                <w:sz w:val="20"/>
              </w:rPr>
              <w:t>17.9</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17.5</w:t>
            </w:r>
          </w:p>
        </w:tc>
        <w:tc>
          <w:tcPr>
            <w:vAlign w:val="center"/>
          </w:tcPr>
          <w:p w:rsidR="001A6775">
            <w:pPr>
              <w:bidi w:val="0"/>
              <w:spacing w:after="0" w:afterAutospacing="1"/>
              <w:jc w:val="right"/>
              <w:rPr>
                <w:b w:val="0"/>
                <w:sz w:val="20"/>
              </w:rPr>
            </w:pPr>
            <w:r>
              <w:rPr>
                <w:b w:val="0"/>
                <w:sz w:val="20"/>
              </w:rPr>
              <w:t>20.3</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right"/>
              <w:rPr>
                <w:b w:val="0"/>
                <w:sz w:val="20"/>
              </w:rPr>
            </w:pPr>
            <w:r>
              <w:rPr>
                <w:b w:val="0"/>
                <w:sz w:val="20"/>
              </w:rPr>
              <w:t>153</w:t>
            </w:r>
          </w:p>
        </w:tc>
        <w:tc>
          <w:tcPr>
            <w:vAlign w:val="center"/>
          </w:tcPr>
          <w:p w:rsidR="001A6775">
            <w:pPr>
              <w:bidi w:val="0"/>
              <w:spacing w:after="0" w:afterAutospacing="1"/>
              <w:jc w:val="right"/>
              <w:rPr>
                <w:b w:val="0"/>
                <w:sz w:val="20"/>
              </w:rPr>
            </w:pPr>
            <w:r>
              <w:rPr>
                <w:b w:val="0"/>
                <w:sz w:val="20"/>
              </w:rPr>
              <w:t>15.1</w:t>
            </w:r>
          </w:p>
        </w:tc>
        <w:tc>
          <w:tcPr>
            <w:vAlign w:val="center"/>
          </w:tcPr>
          <w:p w:rsidR="001A6775">
            <w:pPr>
              <w:bidi w:val="0"/>
              <w:spacing w:after="0" w:afterAutospacing="1"/>
              <w:jc w:val="right"/>
              <w:rPr>
                <w:b w:val="0"/>
                <w:sz w:val="20"/>
              </w:rPr>
            </w:pPr>
            <w:r>
              <w:rPr>
                <w:b w:val="0"/>
                <w:sz w:val="20"/>
              </w:rPr>
              <w:t>22.7</w:t>
            </w:r>
          </w:p>
        </w:tc>
        <w:tc>
          <w:tcPr>
            <w:vAlign w:val="center"/>
          </w:tcPr>
          <w:p w:rsidR="001A6775">
            <w:pPr>
              <w:bidi w:val="0"/>
              <w:spacing w:after="0" w:afterAutospacing="1"/>
              <w:jc w:val="right"/>
              <w:rPr>
                <w:b w:val="0"/>
                <w:sz w:val="20"/>
              </w:rPr>
            </w:pPr>
            <w:r>
              <w:rPr>
                <w:b w:val="0"/>
                <w:sz w:val="20"/>
              </w:rPr>
              <w:t>129</w:t>
            </w:r>
          </w:p>
        </w:tc>
        <w:tc>
          <w:tcPr>
            <w:vAlign w:val="center"/>
          </w:tcPr>
          <w:p w:rsidR="001A6775">
            <w:pPr>
              <w:bidi w:val="0"/>
              <w:spacing w:after="0" w:afterAutospacing="1"/>
              <w:jc w:val="right"/>
              <w:rPr>
                <w:b w:val="0"/>
                <w:sz w:val="20"/>
              </w:rPr>
            </w:pPr>
            <w:r>
              <w:rPr>
                <w:b w:val="0"/>
                <w:sz w:val="20"/>
              </w:rPr>
              <w:t>14.2</w:t>
            </w:r>
          </w:p>
        </w:tc>
        <w:tc>
          <w:tcPr>
            <w:vAlign w:val="center"/>
          </w:tcPr>
          <w:p w:rsidR="001A6775">
            <w:pPr>
              <w:bidi w:val="0"/>
              <w:spacing w:after="0" w:afterAutospacing="1"/>
              <w:jc w:val="right"/>
              <w:rPr>
                <w:b w:val="0"/>
                <w:sz w:val="20"/>
              </w:rPr>
            </w:pPr>
            <w:r>
              <w:rPr>
                <w:b w:val="0"/>
                <w:sz w:val="20"/>
              </w:rPr>
              <w:t>20.8</w:t>
            </w:r>
          </w:p>
        </w:tc>
        <w:tc>
          <w:tcPr>
            <w:vAlign w:val="center"/>
          </w:tcPr>
          <w:p w:rsidR="001A6775">
            <w:pPr>
              <w:bidi w:val="0"/>
              <w:spacing w:after="0" w:afterAutospacing="1"/>
              <w:jc w:val="right"/>
              <w:rPr>
                <w:b w:val="0"/>
                <w:sz w:val="20"/>
              </w:rPr>
            </w:pPr>
            <w:r>
              <w:rPr>
                <w:b w:val="0"/>
                <w:sz w:val="2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24.3</w:t>
            </w:r>
          </w:p>
        </w:tc>
        <w:tc>
          <w:tcPr>
            <w:vAlign w:val="center"/>
          </w:tcPr>
          <w:p w:rsidR="001A6775">
            <w:pPr>
              <w:bidi w:val="0"/>
              <w:spacing w:after="0" w:afterAutospacing="1"/>
              <w:jc w:val="right"/>
              <w:rPr>
                <w:b w:val="0"/>
                <w:sz w:val="20"/>
              </w:rPr>
            </w:pPr>
            <w:r>
              <w:rPr>
                <w:b w:val="0"/>
                <w:sz w:val="20"/>
              </w:rPr>
              <w:t>29.6</w:t>
            </w:r>
          </w:p>
        </w:tc>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27.0</w:t>
            </w:r>
          </w:p>
        </w:tc>
        <w:tc>
          <w:tcPr>
            <w:vAlign w:val="center"/>
          </w:tcPr>
          <w:p w:rsidR="001A6775">
            <w:pPr>
              <w:bidi w:val="0"/>
              <w:spacing w:after="0" w:afterAutospacing="1"/>
              <w:jc w:val="right"/>
              <w:rPr>
                <w:b w:val="0"/>
                <w:sz w:val="20"/>
              </w:rPr>
            </w:pPr>
            <w:r>
              <w:rPr>
                <w:b w:val="0"/>
                <w:sz w:val="20"/>
              </w:rPr>
              <w:t>29.1</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right"/>
              <w:rPr>
                <w:b w:val="0"/>
                <w:sz w:val="20"/>
              </w:rPr>
            </w:pPr>
            <w:r>
              <w:rPr>
                <w:b w:val="0"/>
                <w:sz w:val="20"/>
              </w:rPr>
              <w:t>433</w:t>
            </w:r>
          </w:p>
        </w:tc>
        <w:tc>
          <w:tcPr>
            <w:vAlign w:val="center"/>
          </w:tcPr>
          <w:p w:rsidR="001A6775">
            <w:pPr>
              <w:bidi w:val="0"/>
              <w:spacing w:after="0" w:afterAutospacing="1"/>
              <w:jc w:val="right"/>
              <w:rPr>
                <w:b w:val="0"/>
                <w:sz w:val="20"/>
              </w:rPr>
            </w:pPr>
            <w:r>
              <w:rPr>
                <w:b w:val="0"/>
                <w:sz w:val="20"/>
              </w:rPr>
              <w:t>42.6</w:t>
            </w:r>
          </w:p>
        </w:tc>
        <w:tc>
          <w:tcPr>
            <w:vAlign w:val="center"/>
          </w:tcPr>
          <w:p w:rsidR="001A6775">
            <w:pPr>
              <w:bidi w:val="0"/>
              <w:spacing w:after="0" w:afterAutospacing="1"/>
              <w:jc w:val="right"/>
              <w:rPr>
                <w:b w:val="0"/>
                <w:sz w:val="20"/>
              </w:rPr>
            </w:pPr>
            <w:r>
              <w:rPr>
                <w:b w:val="0"/>
                <w:sz w:val="20"/>
              </w:rPr>
              <w:t>29.7</w:t>
            </w:r>
          </w:p>
        </w:tc>
        <w:tc>
          <w:tcPr>
            <w:vAlign w:val="center"/>
          </w:tcPr>
          <w:p w:rsidR="001A6775">
            <w:pPr>
              <w:bidi w:val="0"/>
              <w:spacing w:after="0" w:afterAutospacing="1"/>
              <w:jc w:val="right"/>
              <w:rPr>
                <w:b w:val="0"/>
                <w:sz w:val="20"/>
              </w:rPr>
            </w:pPr>
            <w:r>
              <w:rPr>
                <w:b w:val="0"/>
                <w:sz w:val="20"/>
              </w:rPr>
              <w:t>377</w:t>
            </w:r>
          </w:p>
        </w:tc>
        <w:tc>
          <w:tcPr>
            <w:vAlign w:val="center"/>
          </w:tcPr>
          <w:p w:rsidR="001A6775">
            <w:pPr>
              <w:bidi w:val="0"/>
              <w:spacing w:after="0" w:afterAutospacing="1"/>
              <w:jc w:val="right"/>
              <w:rPr>
                <w:b w:val="0"/>
                <w:sz w:val="20"/>
              </w:rPr>
            </w:pPr>
            <w:r>
              <w:rPr>
                <w:b w:val="0"/>
                <w:sz w:val="20"/>
              </w:rPr>
              <w:t>41.3</w:t>
            </w:r>
          </w:p>
        </w:tc>
        <w:tc>
          <w:tcPr>
            <w:vAlign w:val="center"/>
          </w:tcPr>
          <w:p w:rsidR="001A6775">
            <w:pPr>
              <w:bidi w:val="0"/>
              <w:spacing w:after="0" w:afterAutospacing="1"/>
              <w:jc w:val="right"/>
              <w:rPr>
                <w:b w:val="0"/>
                <w:sz w:val="20"/>
              </w:rPr>
            </w:pPr>
            <w:r>
              <w:rPr>
                <w:b w:val="0"/>
                <w:sz w:val="20"/>
              </w:rPr>
              <w:t>29.9</w:t>
            </w:r>
          </w:p>
        </w:tc>
        <w:tc>
          <w:tcPr>
            <w:vAlign w:val="center"/>
          </w:tcPr>
          <w:p w:rsidR="001A6775">
            <w:pPr>
              <w:bidi w:val="0"/>
              <w:spacing w:after="0" w:afterAutospacing="1"/>
              <w:jc w:val="right"/>
              <w:rPr>
                <w:b w:val="0"/>
                <w:sz w:val="20"/>
              </w:rPr>
            </w:pPr>
            <w:r>
              <w:rPr>
                <w:b w:val="0"/>
                <w:sz w:val="20"/>
              </w:rPr>
              <w:t>+56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 with stated mortgage repayments</w:t>
            </w:r>
          </w:p>
        </w:tc>
        <w:tc>
          <w:tcPr>
            <w:vAlign w:val="center"/>
          </w:tcPr>
          <w:p w:rsidR="001A6775">
            <w:pPr>
              <w:bidi w:val="0"/>
              <w:spacing w:after="0" w:afterAutospacing="1"/>
              <w:jc w:val="right"/>
              <w:rPr>
                <w:b/>
                <w:sz w:val="20"/>
              </w:rPr>
            </w:pPr>
            <w:r>
              <w:rPr>
                <w:b/>
                <w:sz w:val="20"/>
              </w:rPr>
              <w:t>1,016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913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+102</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Housing loan - Quartile group dollar ranges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Calculated from loan repayment data for  [theQBMQuartile]</w:t>
            </w:r>
          </w:p>
        </w:tc>
        <w:tc>
          <w:tcPr>
            <w:hMerge w:val="restart"/>
          </w:tcPr>
          <w:p w:rsidR="001A6775">
            <w:pPr>
              <w:bidi w:val="0"/>
              <w:spacing w:after="0" w:afterAutospacing="1"/>
              <w:jc w:val="center"/>
              <w:rPr>
                <w:b/>
                <w:sz w:val="20"/>
              </w:rPr>
            </w:pPr>
            <w:r>
              <w:rPr>
                <w:b/>
                <w:sz w:val="30"/>
              </w:rPr>
              <w:t>Monthly housing loan repayments by Census year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Housing loan repayment ranges</w:t>
            </w:r>
          </w:p>
        </w:tc>
        <w:tc>
          <w:tcPr>
            <w:vAlign w:val="center"/>
          </w:tcPr>
          <w:p w:rsidR="001A6775">
            <w:pPr>
              <w:bidi w:val="0"/>
              <w:spacing w:after="0" w:afterAutospacing="1"/>
              <w:jc w:val="right"/>
              <w:rPr>
                <w:b/>
                <w:sz w:val="20"/>
              </w:rPr>
            </w:pPr>
            <w:r>
              <w:rPr>
                <w:b/>
                <w:sz w:val="20"/>
              </w:rPr>
              <w:t>2021</w:t>
            </w:r>
          </w:p>
        </w:tc>
        <w:tc>
          <w:tcPr>
            <w:vAlign w:val="center"/>
          </w:tcPr>
          <w:p w:rsidR="001A6775">
            <w:pPr>
              <w:bidi w:val="0"/>
              <w:spacing w:after="0" w:afterAutospacing="1"/>
              <w:jc w:val="right"/>
              <w:rPr>
                <w:b/>
                <w:sz w:val="20"/>
              </w:rPr>
            </w:pPr>
            <w:r>
              <w:rPr>
                <w:b/>
                <w:sz w:val="20"/>
              </w:rPr>
              <w:t>2016</w:t>
            </w:r>
          </w:p>
        </w:tc>
        <w:tc>
          <w:tcPr>
            <w:vAlign w:val="center"/>
          </w:tcPr>
          <w:p w:rsidR="001A6775">
            <w:pPr>
              <w:bidi w:val="0"/>
              <w:spacing w:after="0" w:afterAutospacing="1"/>
              <w:jc w:val="right"/>
              <w:rPr>
                <w:b/>
                <w:sz w:val="20"/>
              </w:rPr>
            </w:pPr>
            <w:r>
              <w:rPr>
                <w:b/>
                <w:sz w:val="20"/>
              </w:rPr>
              <w:t>2011</w:t>
            </w:r>
          </w:p>
        </w:tc>
        <w:tc>
          <w:tcPr>
            <w:vAlign w:val="center"/>
          </w:tcPr>
          <w:p w:rsidR="001A6775">
            <w:pPr>
              <w:bidi w:val="0"/>
              <w:spacing w:after="0" w:afterAutospacing="1"/>
              <w:jc w:val="right"/>
              <w:rPr>
                <w:b/>
                <w:sz w:val="20"/>
              </w:rPr>
            </w:pPr>
            <w:r>
              <w:rPr>
                <w:b/>
                <w:sz w:val="20"/>
              </w:rPr>
              <w:t>2006</w:t>
            </w:r>
          </w:p>
        </w:tc>
        <w:tc>
          <w:tcPr>
            <w:vAlign w:val="center"/>
          </w:tcPr>
          <w:p w:rsidR="001A6775">
            <w:pPr>
              <w:bidi w:val="0"/>
              <w:spacing w:after="0" w:afterAutospacing="1"/>
              <w:jc w:val="right"/>
              <w:rPr>
                <w:b/>
                <w:sz w:val="20"/>
              </w:rPr>
            </w:pPr>
            <w:r>
              <w:rPr>
                <w:b/>
                <w:sz w:val="20"/>
              </w:rPr>
              <w:t>2001</w:t>
            </w:r>
          </w:p>
        </w:tc>
        <w:tc>
          <w:tcPr>
            <w:vAlign w:val="center"/>
          </w:tcPr>
          <w:p w:rsidR="001A6775">
            <w:pPr>
              <w:bidi w:val="0"/>
              <w:spacing w:after="0" w:afterAutospacing="1"/>
              <w:jc w:val="right"/>
              <w:rPr>
                <w:b/>
                <w:sz w:val="20"/>
              </w:rPr>
            </w:pPr>
            <w:r>
              <w:rPr>
                <w:b/>
                <w:sz w:val="20"/>
              </w:rPr>
              <w:t>1991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left"/>
              <w:rPr>
                <w:b w:val="0"/>
                <w:sz w:val="20"/>
              </w:rPr>
            </w:pPr>
            <w:r>
              <w:rPr>
                <w:b w:val="0"/>
                <w:sz w:val="20"/>
              </w:rPr>
              <w:t>$0 to $1,381</w:t>
            </w:r>
          </w:p>
        </w:tc>
        <w:tc>
          <w:tcPr>
            <w:vAlign w:val="center"/>
          </w:tcPr>
          <w:p w:rsidR="001A6775">
            <w:pPr>
              <w:bidi w:val="0"/>
              <w:spacing w:after="0" w:afterAutospacing="1"/>
              <w:jc w:val="left"/>
              <w:rPr>
                <w:b w:val="0"/>
                <w:sz w:val="20"/>
              </w:rPr>
            </w:pPr>
            <w:r>
              <w:rPr>
                <w:b w:val="0"/>
                <w:sz w:val="20"/>
              </w:rPr>
              <w:t>$0 to $1,263</w:t>
            </w:r>
          </w:p>
        </w:tc>
        <w:tc>
          <w:tcPr>
            <w:vAlign w:val="center"/>
          </w:tcPr>
          <w:p w:rsidR="001A6775">
            <w:pPr>
              <w:bidi w:val="0"/>
              <w:spacing w:after="0" w:afterAutospacing="1"/>
              <w:jc w:val="left"/>
              <w:rPr>
                <w:b w:val="0"/>
                <w:sz w:val="20"/>
              </w:rPr>
            </w:pPr>
            <w:r>
              <w:rPr>
                <w:b w:val="0"/>
                <w:sz w:val="20"/>
              </w:rPr>
              <w:t>$0 to $1,266</w:t>
            </w:r>
          </w:p>
        </w:tc>
        <w:tc>
          <w:tcPr>
            <w:vAlign w:val="center"/>
          </w:tcPr>
          <w:p w:rsidR="001A6775">
            <w:pPr>
              <w:bidi w:val="0"/>
              <w:spacing w:after="0" w:afterAutospacing="1"/>
              <w:jc w:val="left"/>
              <w:rPr>
                <w:b w:val="0"/>
                <w:sz w:val="20"/>
              </w:rPr>
            </w:pPr>
            <w:r>
              <w:rPr>
                <w:b w:val="0"/>
                <w:sz w:val="20"/>
              </w:rPr>
              <w:t>$0 to $993</w:t>
            </w:r>
          </w:p>
        </w:tc>
        <w:tc>
          <w:tcPr>
            <w:vAlign w:val="center"/>
          </w:tcPr>
          <w:p w:rsidR="001A6775">
            <w:pPr>
              <w:bidi w:val="0"/>
              <w:spacing w:after="0" w:afterAutospacing="1"/>
              <w:jc w:val="left"/>
              <w:rPr>
                <w:b w:val="0"/>
                <w:sz w:val="20"/>
              </w:rPr>
            </w:pPr>
            <w:r>
              <w:rPr>
                <w:b w:val="0"/>
                <w:sz w:val="20"/>
              </w:rPr>
              <w:t>$0 to $723</w:t>
            </w: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left"/>
              <w:rPr>
                <w:b w:val="0"/>
                <w:sz w:val="20"/>
              </w:rPr>
            </w:pPr>
            <w:r>
              <w:rPr>
                <w:b w:val="0"/>
                <w:sz w:val="20"/>
              </w:rPr>
              <w:t>$1,382 to $2,123</w:t>
            </w:r>
          </w:p>
        </w:tc>
        <w:tc>
          <w:tcPr>
            <w:vAlign w:val="center"/>
          </w:tcPr>
          <w:p w:rsidR="001A6775">
            <w:pPr>
              <w:bidi w:val="0"/>
              <w:spacing w:after="0" w:afterAutospacing="1"/>
              <w:jc w:val="left"/>
              <w:rPr>
                <w:b w:val="0"/>
                <w:sz w:val="20"/>
              </w:rPr>
            </w:pPr>
            <w:r>
              <w:rPr>
                <w:b w:val="0"/>
                <w:sz w:val="20"/>
              </w:rPr>
              <w:t>$1,264 to $1,989</w:t>
            </w:r>
          </w:p>
        </w:tc>
        <w:tc>
          <w:tcPr>
            <w:vAlign w:val="center"/>
          </w:tcPr>
          <w:p w:rsidR="001A6775">
            <w:pPr>
              <w:bidi w:val="0"/>
              <w:spacing w:after="0" w:afterAutospacing="1"/>
              <w:jc w:val="left"/>
              <w:rPr>
                <w:b w:val="0"/>
                <w:sz w:val="20"/>
              </w:rPr>
            </w:pPr>
            <w:r>
              <w:rPr>
                <w:b w:val="0"/>
                <w:sz w:val="20"/>
              </w:rPr>
              <w:t>$1,267 to $1,995</w:t>
            </w:r>
          </w:p>
        </w:tc>
        <w:tc>
          <w:tcPr>
            <w:vAlign w:val="center"/>
          </w:tcPr>
          <w:p w:rsidR="001A6775">
            <w:pPr>
              <w:bidi w:val="0"/>
              <w:spacing w:after="0" w:afterAutospacing="1"/>
              <w:jc w:val="left"/>
              <w:rPr>
                <w:b w:val="0"/>
                <w:sz w:val="20"/>
              </w:rPr>
            </w:pPr>
            <w:r>
              <w:rPr>
                <w:b w:val="0"/>
                <w:sz w:val="20"/>
              </w:rPr>
              <w:t>$994 to $1,557</w:t>
            </w:r>
          </w:p>
        </w:tc>
        <w:tc>
          <w:tcPr>
            <w:vAlign w:val="center"/>
          </w:tcPr>
          <w:p w:rsidR="001A6775">
            <w:pPr>
              <w:bidi w:val="0"/>
              <w:spacing w:after="0" w:afterAutospacing="1"/>
              <w:jc w:val="left"/>
              <w:rPr>
                <w:b w:val="0"/>
                <w:sz w:val="20"/>
              </w:rPr>
            </w:pPr>
            <w:r>
              <w:rPr>
                <w:b w:val="0"/>
                <w:sz w:val="20"/>
              </w:rPr>
              <w:t>$724 to $1,069</w:t>
            </w: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left"/>
              <w:rPr>
                <w:b w:val="0"/>
                <w:sz w:val="20"/>
              </w:rPr>
            </w:pPr>
            <w:r>
              <w:rPr>
                <w:b w:val="0"/>
                <w:sz w:val="20"/>
              </w:rPr>
              <w:t>$2,124 to $3,203</w:t>
            </w:r>
          </w:p>
        </w:tc>
        <w:tc>
          <w:tcPr>
            <w:vAlign w:val="center"/>
          </w:tcPr>
          <w:p w:rsidR="001A6775">
            <w:pPr>
              <w:bidi w:val="0"/>
              <w:spacing w:after="0" w:afterAutospacing="1"/>
              <w:jc w:val="left"/>
              <w:rPr>
                <w:b w:val="0"/>
                <w:sz w:val="20"/>
              </w:rPr>
            </w:pPr>
            <w:r>
              <w:rPr>
                <w:b w:val="0"/>
                <w:sz w:val="20"/>
              </w:rPr>
              <w:t>$1,990 to $2,865</w:t>
            </w:r>
          </w:p>
        </w:tc>
        <w:tc>
          <w:tcPr>
            <w:vAlign w:val="center"/>
          </w:tcPr>
          <w:p w:rsidR="001A6775">
            <w:pPr>
              <w:bidi w:val="0"/>
              <w:spacing w:after="0" w:afterAutospacing="1"/>
              <w:jc w:val="left"/>
              <w:rPr>
                <w:b w:val="0"/>
                <w:sz w:val="20"/>
              </w:rPr>
            </w:pPr>
            <w:r>
              <w:rPr>
                <w:b w:val="0"/>
                <w:sz w:val="20"/>
              </w:rPr>
              <w:t>$1,996 to $2,853</w:t>
            </w:r>
          </w:p>
        </w:tc>
        <w:tc>
          <w:tcPr>
            <w:vAlign w:val="center"/>
          </w:tcPr>
          <w:p w:rsidR="001A6775">
            <w:pPr>
              <w:bidi w:val="0"/>
              <w:spacing w:after="0" w:afterAutospacing="1"/>
              <w:jc w:val="left"/>
              <w:rPr>
                <w:b w:val="0"/>
                <w:sz w:val="20"/>
              </w:rPr>
            </w:pPr>
            <w:r>
              <w:rPr>
                <w:b w:val="0"/>
                <w:sz w:val="20"/>
              </w:rPr>
              <w:t>$1,558 to $2,416</w:t>
            </w:r>
          </w:p>
        </w:tc>
        <w:tc>
          <w:tcPr>
            <w:vAlign w:val="center"/>
          </w:tcPr>
          <w:p w:rsidR="001A6775">
            <w:pPr>
              <w:bidi w:val="0"/>
              <w:spacing w:after="0" w:afterAutospacing="1"/>
              <w:jc w:val="left"/>
              <w:rPr>
                <w:b w:val="0"/>
                <w:sz w:val="20"/>
              </w:rPr>
            </w:pPr>
            <w:r>
              <w:rPr>
                <w:b w:val="0"/>
                <w:sz w:val="20"/>
              </w:rPr>
              <w:t>$1,070 to $1,550</w:t>
            </w: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left"/>
              <w:rPr>
                <w:b w:val="0"/>
                <w:sz w:val="20"/>
              </w:rPr>
            </w:pPr>
            <w:r>
              <w:rPr>
                <w:b w:val="0"/>
                <w:sz w:val="20"/>
              </w:rPr>
              <w:t>$3,204 and over</w:t>
            </w:r>
          </w:p>
        </w:tc>
        <w:tc>
          <w:tcPr>
            <w:vAlign w:val="center"/>
          </w:tcPr>
          <w:p w:rsidR="001A6775">
            <w:pPr>
              <w:bidi w:val="0"/>
              <w:spacing w:after="0" w:afterAutospacing="1"/>
              <w:jc w:val="left"/>
              <w:rPr>
                <w:b w:val="0"/>
                <w:sz w:val="20"/>
              </w:rPr>
            </w:pPr>
            <w:r>
              <w:rPr>
                <w:b w:val="0"/>
                <w:sz w:val="20"/>
              </w:rPr>
              <w:t>$2,866 and over</w:t>
            </w:r>
          </w:p>
        </w:tc>
        <w:tc>
          <w:tcPr>
            <w:vAlign w:val="center"/>
          </w:tcPr>
          <w:p w:rsidR="001A6775">
            <w:pPr>
              <w:bidi w:val="0"/>
              <w:spacing w:after="0" w:afterAutospacing="1"/>
              <w:jc w:val="left"/>
              <w:rPr>
                <w:b w:val="0"/>
                <w:sz w:val="20"/>
              </w:rPr>
            </w:pPr>
            <w:r>
              <w:rPr>
                <w:b w:val="0"/>
                <w:sz w:val="20"/>
              </w:rPr>
              <w:t>$2,854 and over</w:t>
            </w:r>
          </w:p>
        </w:tc>
        <w:tc>
          <w:tcPr>
            <w:vAlign w:val="center"/>
          </w:tcPr>
          <w:p w:rsidR="001A6775">
            <w:pPr>
              <w:bidi w:val="0"/>
              <w:spacing w:after="0" w:afterAutospacing="1"/>
              <w:jc w:val="left"/>
              <w:rPr>
                <w:b w:val="0"/>
                <w:sz w:val="20"/>
              </w:rPr>
            </w:pPr>
            <w:r>
              <w:rPr>
                <w:b w:val="0"/>
                <w:sz w:val="20"/>
              </w:rPr>
              <w:t>$2,417 and over</w:t>
            </w:r>
          </w:p>
        </w:tc>
        <w:tc>
          <w:tcPr>
            <w:vAlign w:val="center"/>
          </w:tcPr>
          <w:p w:rsidR="001A6775">
            <w:pPr>
              <w:bidi w:val="0"/>
              <w:spacing w:after="0" w:afterAutospacing="1"/>
              <w:jc w:val="left"/>
              <w:rPr>
                <w:b w:val="0"/>
                <w:sz w:val="20"/>
              </w:rPr>
            </w:pPr>
            <w:r>
              <w:rPr>
                <w:b w:val="0"/>
                <w:sz w:val="20"/>
              </w:rPr>
              <w:t>$1,551 and over</w:t>
            </w:r>
          </w:p>
        </w:tc>
        <w:tc>
          <w:tcPr>
            <w:vAlign w:val="center"/>
          </w:tcPr>
          <w:p w:rsidR="001A6775">
            <w:pPr>
              <w:bidi w:val="0"/>
              <w:spacing w:after="0" w:afterAutospacing="1"/>
              <w:jc w:val="left"/>
              <w:rPr>
                <w:b w:val="0"/>
                <w:sz w:val="20"/>
              </w:rPr>
            </w:pP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Housing loan repayment quartiles allow us to compare relative repayment liabilities across time. Analysis of the distribution of households by housing loan repayment quartiles in North Rocks compared to City of Parramatta shows that there was a larger proportion of households in the highest repayment quartile, and a similar proportion in the lowest repayment quartile.</w:t>
      </w:r>
    </w:p>
    <w:p w:rsidR="001A6775">
      <w:pPr>
        <w:bidi w:val="0"/>
        <w:spacing w:after="280" w:afterAutospacing="1"/>
      </w:pPr>
      <w:r>
        <w:rPr>
          <w:rtl w:val="0"/>
        </w:rPr>
        <w:t>The total number of households with a mortgage in North Rocks decreased by 913 between 2016 and 2021. The most significant change in North Rocks during this period was in the highest quartile which showed an increase of 56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