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Parramatta</w:t>
      </w:r>
    </w:p>
    <w:p w:rsidR="001A6775">
      <w:pPr>
        <w:pStyle w:val="Heading4"/>
        <w:bidi w:val="0"/>
        <w:spacing w:after="280" w:afterAutospacing="1"/>
      </w:pPr>
      <w:r>
        <w:rPr>
          <w:rtl w:val="0"/>
        </w:rPr>
        <w:t>Household income quartiles</w:t>
      </w:r>
    </w:p>
    <w:p w:rsidR="001A6775">
      <w:pPr>
        <w:bidi w:val="0"/>
        <w:spacing w:after="280" w:afterAutospacing="1"/>
      </w:pPr>
      <w:r>
        <w:rPr>
          <w:rtl w:val="0"/>
        </w:rPr>
        <w:t xml:space="preserve">Households form the common 'economic unit' in our society. Household Income is one of the most important indicators of socio-economic status. With other data sources, such as </w:t>
      </w:r>
      <w:r>
        <w:rPr>
          <w:rtl w:val="0"/>
        </w:rPr>
        <w:fldChar w:fldCharType="begin"/>
      </w:r>
      <w:r>
        <w:rPr>
          <w:rtl w:val="0"/>
        </w:rPr>
        <w:instrText xml:space="preserve"> HYPERLINK "qualifications?[QS]" </w:instrText>
      </w:r>
      <w:r>
        <w:rPr>
          <w:rtl w:val="0"/>
        </w:rPr>
        <w:fldChar w:fldCharType="separate"/>
      </w:r>
      <w:r>
        <w:rPr>
          <w:color w:val="0000FF"/>
          <w:u w:val="single"/>
          <w:rtl w:val="0"/>
        </w:rPr>
        <w:t>Qualifications</w:t>
      </w:r>
      <w:r>
        <w:rPr>
          <w:rtl w:val="0"/>
        </w:rPr>
        <w:fldChar w:fldCharType="end"/>
      </w:r>
      <w:r>
        <w:rPr>
          <w:rtl w:val="0"/>
        </w:rPr>
        <w:t xml:space="preserve"> and </w:t>
      </w:r>
      <w:r>
        <w:rPr>
          <w:rtl w:val="0"/>
        </w:rPr>
        <w:fldChar w:fldCharType="begin"/>
      </w:r>
      <w:r>
        <w:rPr>
          <w:rtl w:val="0"/>
        </w:rPr>
        <w:instrText xml:space="preserve"> HYPERLINK "occupations?[QS]" </w:instrText>
      </w:r>
      <w:r>
        <w:rPr>
          <w:rtl w:val="0"/>
        </w:rPr>
        <w:fldChar w:fldCharType="separate"/>
      </w:r>
      <w:r>
        <w:rPr>
          <w:color w:val="0000FF"/>
          <w:u w:val="single"/>
          <w:rtl w:val="0"/>
        </w:rPr>
        <w:t>Occupation</w:t>
      </w:r>
      <w:r>
        <w:rPr>
          <w:rtl w:val="0"/>
        </w:rPr>
        <w:fldChar w:fldCharType="end"/>
      </w:r>
      <w:r>
        <w:rPr>
          <w:rtl w:val="0"/>
        </w:rPr>
        <w:t>, it helps to reveal North Rocks's socio-economic status and economic opportunities. Household income levels are not comparable over time because of the influences of economic change such as wage level fluctuations and inflation. The income quartile method is a powerful and objective way of looking at income data and in particular, how it is changing.</w:t>
      </w:r>
    </w:p>
    <w:p>
      <w:pPr>
        <w:bidi w:val="0"/>
        <w:spacing w:after="280" w:afterAutospacing="1"/>
      </w:pPr>
      <w:r>
        <w:rPr>
          <w:rtl w:val="0"/>
        </w:rPr>
        <w:t xml:space="preserve">A detailed explanation of how Household Income quartiles are calculated and interpreted is available in </w:t>
      </w:r>
      <w:r>
        <w:rPr>
          <w:rtl w:val="0"/>
        </w:rPr>
        <w:fldChar w:fldCharType="begin"/>
      </w:r>
      <w:r>
        <w:rPr>
          <w:rtl w:val="0"/>
        </w:rPr>
        <w:instrText xml:space="preserve"> HYPERLINK "topic-notes?[QS]" \l "household-income-quartiles" </w:instrText>
      </w:r>
      <w:r>
        <w:rPr>
          <w:rtl w:val="0"/>
        </w:rPr>
        <w:fldChar w:fldCharType="separate"/>
      </w:r>
      <w:r>
        <w:rPr>
          <w:color w:val="0000FF"/>
          <w:u w:val="single"/>
          <w:rtl w:val="0"/>
        </w:rPr>
        <w:t>specific data notes</w:t>
      </w:r>
      <w:r>
        <w:rPr>
          <w:rtl w:val="0"/>
        </w:rPr>
        <w:fldChar w:fldCharType="end"/>
      </w:r>
      <w:r>
        <w:rPr>
          <w:rtl w:val="0"/>
        </w:rPr>
        <w:t>.</w:t>
      </w:r>
    </w:p>
    <w:p>
      <w:pPr>
        <w:bidi w:val="0"/>
        <w:spacing w:after="280" w:afterAutospacing="1"/>
      </w:pPr>
      <w:r>
        <w:rPr>
          <w:rtl w:val="0"/>
        </w:rPr>
        <w:fldChar w:fldCharType="begin"/>
      </w:r>
      <w:r>
        <w:rPr>
          <w:rtl w:val="0"/>
        </w:rPr>
        <w:instrText xml:space="preserve"> HYPERLINK "https://blog.id.com.au/2018/population/demographic-trends/what-are-the-characteristics-of-low-income-households-in-your-area/" </w:instrText>
      </w:r>
      <w:r>
        <w:rPr>
          <w:rtl w:val="0"/>
        </w:rPr>
        <w:fldChar w:fldCharType="separate"/>
      </w:r>
      <w:r>
        <w:rPr>
          <w:color w:val="0000FF"/>
          <w:u w:val="single"/>
          <w:rtl w:val="0"/>
        </w:rPr>
        <w:t>Learn more about the characteristics of low-income households here.</w:t>
      </w:r>
      <w:r>
        <w:rPr>
          <w:rtl w:val="0"/>
        </w:rPr>
        <w:fldChar w:fldCharType="end"/>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Household income quartiles</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North Rocks - Households (Enumerated)</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Quartile group</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Parramatta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Parramatta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Lowest group</w:t>
            </w:r>
          </w:p>
        </w:tc>
        <w:tc>
          <w:tcPr>
            <w:vAlign w:val="center"/>
          </w:tcPr>
          <w:p w:rsidR="001A6775">
            <w:pPr>
              <w:bidi w:val="0"/>
              <w:spacing w:after="0" w:afterAutospacing="1"/>
              <w:jc w:val="right"/>
              <w:rPr>
                <w:b w:val="0"/>
                <w:sz w:val="20"/>
              </w:rPr>
            </w:pPr>
            <w:r>
              <w:rPr>
                <w:b w:val="0"/>
                <w:sz w:val="20"/>
              </w:rPr>
              <w:t>427</w:t>
            </w:r>
          </w:p>
        </w:tc>
        <w:tc>
          <w:tcPr>
            <w:vAlign w:val="center"/>
          </w:tcPr>
          <w:p w:rsidR="001A6775">
            <w:pPr>
              <w:bidi w:val="0"/>
              <w:spacing w:after="0" w:afterAutospacing="1"/>
              <w:jc w:val="right"/>
              <w:rPr>
                <w:b w:val="0"/>
                <w:sz w:val="20"/>
              </w:rPr>
            </w:pPr>
            <w:r>
              <w:rPr>
                <w:b w:val="0"/>
                <w:sz w:val="20"/>
              </w:rPr>
              <w:t>15.8</w:t>
            </w:r>
          </w:p>
        </w:tc>
        <w:tc>
          <w:tcPr>
            <w:vAlign w:val="center"/>
          </w:tcPr>
          <w:p w:rsidR="001A6775">
            <w:pPr>
              <w:bidi w:val="0"/>
              <w:spacing w:after="0" w:afterAutospacing="1"/>
              <w:jc w:val="right"/>
              <w:rPr>
                <w:b w:val="0"/>
                <w:sz w:val="20"/>
              </w:rPr>
            </w:pPr>
            <w:r>
              <w:rPr>
                <w:b w:val="0"/>
                <w:sz w:val="20"/>
              </w:rPr>
              <w:t>19.5</w:t>
            </w:r>
          </w:p>
        </w:tc>
        <w:tc>
          <w:tcPr>
            <w:vAlign w:val="center"/>
          </w:tcPr>
          <w:p w:rsidR="001A6775">
            <w:pPr>
              <w:bidi w:val="0"/>
              <w:spacing w:after="0" w:afterAutospacing="1"/>
              <w:jc w:val="right"/>
              <w:rPr>
                <w:b w:val="0"/>
                <w:sz w:val="20"/>
              </w:rPr>
            </w:pPr>
            <w:r>
              <w:rPr>
                <w:b w:val="0"/>
                <w:sz w:val="20"/>
              </w:rPr>
              <w:t>279</w:t>
            </w:r>
          </w:p>
        </w:tc>
        <w:tc>
          <w:tcPr>
            <w:vAlign w:val="center"/>
          </w:tcPr>
          <w:p w:rsidR="001A6775">
            <w:pPr>
              <w:bidi w:val="0"/>
              <w:spacing w:after="0" w:afterAutospacing="1"/>
              <w:jc w:val="right"/>
              <w:rPr>
                <w:b w:val="0"/>
                <w:sz w:val="20"/>
              </w:rPr>
            </w:pPr>
            <w:r>
              <w:rPr>
                <w:b w:val="0"/>
                <w:sz w:val="20"/>
              </w:rPr>
              <w:t>12.7</w:t>
            </w:r>
          </w:p>
        </w:tc>
        <w:tc>
          <w:tcPr>
            <w:vAlign w:val="center"/>
          </w:tcPr>
          <w:p w:rsidR="001A6775">
            <w:pPr>
              <w:bidi w:val="0"/>
              <w:spacing w:after="0" w:afterAutospacing="1"/>
              <w:jc w:val="right"/>
              <w:rPr>
                <w:b w:val="0"/>
                <w:sz w:val="20"/>
              </w:rPr>
            </w:pPr>
            <w:r>
              <w:rPr>
                <w:b w:val="0"/>
                <w:sz w:val="20"/>
              </w:rPr>
              <w:t>19.4</w:t>
            </w:r>
          </w:p>
        </w:tc>
        <w:tc>
          <w:tcPr>
            <w:vAlign w:val="center"/>
          </w:tcPr>
          <w:p w:rsidR="001A6775">
            <w:pPr>
              <w:bidi w:val="0"/>
              <w:spacing w:after="0" w:afterAutospacing="1"/>
              <w:jc w:val="right"/>
              <w:rPr>
                <w:b w:val="0"/>
                <w:sz w:val="20"/>
              </w:rPr>
            </w:pPr>
            <w:r>
              <w:rPr>
                <w:b w:val="0"/>
                <w:sz w:val="20"/>
              </w:rPr>
              <w:t>+148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Medium lowest</w:t>
            </w:r>
          </w:p>
        </w:tc>
        <w:tc>
          <w:tcPr>
            <w:vAlign w:val="center"/>
          </w:tcPr>
          <w:p w:rsidR="001A6775">
            <w:pPr>
              <w:bidi w:val="0"/>
              <w:spacing w:after="0" w:afterAutospacing="1"/>
              <w:jc w:val="right"/>
              <w:rPr>
                <w:b w:val="0"/>
                <w:sz w:val="20"/>
              </w:rPr>
            </w:pPr>
            <w:r>
              <w:rPr>
                <w:b w:val="0"/>
                <w:sz w:val="20"/>
              </w:rPr>
              <w:t>583</w:t>
            </w:r>
          </w:p>
        </w:tc>
        <w:tc>
          <w:tcPr>
            <w:vAlign w:val="center"/>
          </w:tcPr>
          <w:p w:rsidR="001A6775">
            <w:pPr>
              <w:bidi w:val="0"/>
              <w:spacing w:after="0" w:afterAutospacing="1"/>
              <w:jc w:val="right"/>
              <w:rPr>
                <w:b w:val="0"/>
                <w:sz w:val="20"/>
              </w:rPr>
            </w:pPr>
            <w:r>
              <w:rPr>
                <w:b w:val="0"/>
                <w:sz w:val="20"/>
              </w:rPr>
              <w:t>21.6</w:t>
            </w:r>
          </w:p>
        </w:tc>
        <w:tc>
          <w:tcPr>
            <w:vAlign w:val="center"/>
          </w:tcPr>
          <w:p w:rsidR="001A6775">
            <w:pPr>
              <w:bidi w:val="0"/>
              <w:spacing w:after="0" w:afterAutospacing="1"/>
              <w:jc w:val="right"/>
              <w:rPr>
                <w:b w:val="0"/>
                <w:sz w:val="20"/>
              </w:rPr>
            </w:pPr>
            <w:r>
              <w:rPr>
                <w:b w:val="0"/>
                <w:sz w:val="20"/>
              </w:rPr>
              <w:t>24.9</w:t>
            </w:r>
          </w:p>
        </w:tc>
        <w:tc>
          <w:tcPr>
            <w:vAlign w:val="center"/>
          </w:tcPr>
          <w:p w:rsidR="001A6775">
            <w:pPr>
              <w:bidi w:val="0"/>
              <w:spacing w:after="0" w:afterAutospacing="1"/>
              <w:jc w:val="right"/>
              <w:rPr>
                <w:b w:val="0"/>
                <w:sz w:val="20"/>
              </w:rPr>
            </w:pPr>
            <w:r>
              <w:rPr>
                <w:b w:val="0"/>
                <w:sz w:val="20"/>
              </w:rPr>
              <w:t>462</w:t>
            </w:r>
          </w:p>
        </w:tc>
        <w:tc>
          <w:tcPr>
            <w:vAlign w:val="center"/>
          </w:tcPr>
          <w:p w:rsidR="001A6775">
            <w:pPr>
              <w:bidi w:val="0"/>
              <w:spacing w:after="0" w:afterAutospacing="1"/>
              <w:jc w:val="right"/>
              <w:rPr>
                <w:b w:val="0"/>
                <w:sz w:val="20"/>
              </w:rPr>
            </w:pPr>
            <w:r>
              <w:rPr>
                <w:b w:val="0"/>
                <w:sz w:val="20"/>
              </w:rPr>
              <w:t>21.0</w:t>
            </w:r>
          </w:p>
        </w:tc>
        <w:tc>
          <w:tcPr>
            <w:vAlign w:val="center"/>
          </w:tcPr>
          <w:p w:rsidR="001A6775">
            <w:pPr>
              <w:bidi w:val="0"/>
              <w:spacing w:after="0" w:afterAutospacing="1"/>
              <w:jc w:val="right"/>
              <w:rPr>
                <w:b w:val="0"/>
                <w:sz w:val="20"/>
              </w:rPr>
            </w:pPr>
            <w:r>
              <w:rPr>
                <w:b w:val="0"/>
                <w:sz w:val="20"/>
              </w:rPr>
              <w:t>22.8</w:t>
            </w:r>
          </w:p>
        </w:tc>
        <w:tc>
          <w:tcPr>
            <w:vAlign w:val="center"/>
          </w:tcPr>
          <w:p w:rsidR="001A6775">
            <w:pPr>
              <w:bidi w:val="0"/>
              <w:spacing w:after="0" w:afterAutospacing="1"/>
              <w:jc w:val="right"/>
              <w:rPr>
                <w:b w:val="0"/>
                <w:sz w:val="20"/>
              </w:rPr>
            </w:pPr>
            <w:r>
              <w:rPr>
                <w:b w:val="0"/>
                <w:sz w:val="20"/>
              </w:rPr>
              <w:t>+121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Medium highest</w:t>
            </w:r>
          </w:p>
        </w:tc>
        <w:tc>
          <w:tcPr>
            <w:vAlign w:val="center"/>
          </w:tcPr>
          <w:p w:rsidR="001A6775">
            <w:pPr>
              <w:bidi w:val="0"/>
              <w:spacing w:after="0" w:afterAutospacing="1"/>
              <w:jc w:val="right"/>
              <w:rPr>
                <w:b w:val="0"/>
                <w:sz w:val="20"/>
              </w:rPr>
            </w:pPr>
            <w:r>
              <w:rPr>
                <w:b w:val="0"/>
                <w:sz w:val="20"/>
              </w:rPr>
              <w:t>739</w:t>
            </w:r>
          </w:p>
        </w:tc>
        <w:tc>
          <w:tcPr>
            <w:vAlign w:val="center"/>
          </w:tcPr>
          <w:p w:rsidR="001A6775">
            <w:pPr>
              <w:bidi w:val="0"/>
              <w:spacing w:after="0" w:afterAutospacing="1"/>
              <w:jc w:val="right"/>
              <w:rPr>
                <w:b w:val="0"/>
                <w:sz w:val="20"/>
              </w:rPr>
            </w:pPr>
            <w:r>
              <w:rPr>
                <w:b w:val="0"/>
                <w:sz w:val="20"/>
              </w:rPr>
              <w:t>27.4</w:t>
            </w:r>
          </w:p>
        </w:tc>
        <w:tc>
          <w:tcPr>
            <w:vAlign w:val="center"/>
          </w:tcPr>
          <w:p w:rsidR="001A6775">
            <w:pPr>
              <w:bidi w:val="0"/>
              <w:spacing w:after="0" w:afterAutospacing="1"/>
              <w:jc w:val="right"/>
              <w:rPr>
                <w:b w:val="0"/>
                <w:sz w:val="20"/>
              </w:rPr>
            </w:pPr>
            <w:r>
              <w:rPr>
                <w:b w:val="0"/>
                <w:sz w:val="20"/>
              </w:rPr>
              <w:t>28.7</w:t>
            </w:r>
          </w:p>
        </w:tc>
        <w:tc>
          <w:tcPr>
            <w:vAlign w:val="center"/>
          </w:tcPr>
          <w:p w:rsidR="001A6775">
            <w:pPr>
              <w:bidi w:val="0"/>
              <w:spacing w:after="0" w:afterAutospacing="1"/>
              <w:jc w:val="right"/>
              <w:rPr>
                <w:b w:val="0"/>
                <w:sz w:val="20"/>
              </w:rPr>
            </w:pPr>
            <w:r>
              <w:rPr>
                <w:b w:val="0"/>
                <w:sz w:val="20"/>
              </w:rPr>
              <w:t>592</w:t>
            </w:r>
          </w:p>
        </w:tc>
        <w:tc>
          <w:tcPr>
            <w:vAlign w:val="center"/>
          </w:tcPr>
          <w:p w:rsidR="001A6775">
            <w:pPr>
              <w:bidi w:val="0"/>
              <w:spacing w:after="0" w:afterAutospacing="1"/>
              <w:jc w:val="right"/>
              <w:rPr>
                <w:b w:val="0"/>
                <w:sz w:val="20"/>
              </w:rPr>
            </w:pPr>
            <w:r>
              <w:rPr>
                <w:b w:val="0"/>
                <w:sz w:val="20"/>
              </w:rPr>
              <w:t>27.0</w:t>
            </w:r>
          </w:p>
        </w:tc>
        <w:tc>
          <w:tcPr>
            <w:vAlign w:val="center"/>
          </w:tcPr>
          <w:p w:rsidR="001A6775">
            <w:pPr>
              <w:bidi w:val="0"/>
              <w:spacing w:after="0" w:afterAutospacing="1"/>
              <w:jc w:val="right"/>
              <w:rPr>
                <w:b w:val="0"/>
                <w:sz w:val="20"/>
              </w:rPr>
            </w:pPr>
            <w:r>
              <w:rPr>
                <w:b w:val="0"/>
                <w:sz w:val="20"/>
              </w:rPr>
              <w:t>29.4</w:t>
            </w:r>
          </w:p>
        </w:tc>
        <w:tc>
          <w:tcPr>
            <w:vAlign w:val="center"/>
          </w:tcPr>
          <w:p w:rsidR="001A6775">
            <w:pPr>
              <w:bidi w:val="0"/>
              <w:spacing w:after="0" w:afterAutospacing="1"/>
              <w:jc w:val="right"/>
              <w:rPr>
                <w:b w:val="0"/>
                <w:sz w:val="20"/>
              </w:rPr>
            </w:pPr>
            <w:r>
              <w:rPr>
                <w:b w:val="0"/>
                <w:sz w:val="20"/>
              </w:rPr>
              <w:t>+147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Highest group</w:t>
            </w:r>
          </w:p>
        </w:tc>
        <w:tc>
          <w:tcPr>
            <w:vAlign w:val="center"/>
          </w:tcPr>
          <w:p w:rsidR="001A6775">
            <w:pPr>
              <w:bidi w:val="0"/>
              <w:spacing w:after="0" w:afterAutospacing="1"/>
              <w:jc w:val="right"/>
              <w:rPr>
                <w:b w:val="0"/>
                <w:sz w:val="20"/>
              </w:rPr>
            </w:pPr>
            <w:r>
              <w:rPr>
                <w:b w:val="0"/>
                <w:sz w:val="20"/>
              </w:rPr>
              <w:t>950</w:t>
            </w:r>
          </w:p>
        </w:tc>
        <w:tc>
          <w:tcPr>
            <w:vAlign w:val="center"/>
          </w:tcPr>
          <w:p w:rsidR="001A6775">
            <w:pPr>
              <w:bidi w:val="0"/>
              <w:spacing w:after="0" w:afterAutospacing="1"/>
              <w:jc w:val="right"/>
              <w:rPr>
                <w:b w:val="0"/>
                <w:sz w:val="20"/>
              </w:rPr>
            </w:pPr>
            <w:r>
              <w:rPr>
                <w:b w:val="0"/>
                <w:sz w:val="20"/>
              </w:rPr>
              <w:t>35.2</w:t>
            </w:r>
          </w:p>
        </w:tc>
        <w:tc>
          <w:tcPr>
            <w:vAlign w:val="center"/>
          </w:tcPr>
          <w:p w:rsidR="001A6775">
            <w:pPr>
              <w:bidi w:val="0"/>
              <w:spacing w:after="0" w:afterAutospacing="1"/>
              <w:jc w:val="right"/>
              <w:rPr>
                <w:b w:val="0"/>
                <w:sz w:val="20"/>
              </w:rPr>
            </w:pPr>
            <w:r>
              <w:rPr>
                <w:b w:val="0"/>
                <w:sz w:val="20"/>
              </w:rPr>
              <w:t>26.9</w:t>
            </w:r>
          </w:p>
        </w:tc>
        <w:tc>
          <w:tcPr>
            <w:vAlign w:val="center"/>
          </w:tcPr>
          <w:p w:rsidR="001A6775">
            <w:pPr>
              <w:bidi w:val="0"/>
              <w:spacing w:after="0" w:afterAutospacing="1"/>
              <w:jc w:val="right"/>
              <w:rPr>
                <w:b w:val="0"/>
                <w:sz w:val="20"/>
              </w:rPr>
            </w:pPr>
            <w:r>
              <w:rPr>
                <w:b w:val="0"/>
                <w:sz w:val="20"/>
              </w:rPr>
              <w:t>862</w:t>
            </w:r>
          </w:p>
        </w:tc>
        <w:tc>
          <w:tcPr>
            <w:vAlign w:val="center"/>
          </w:tcPr>
          <w:p w:rsidR="001A6775">
            <w:pPr>
              <w:bidi w:val="0"/>
              <w:spacing w:after="0" w:afterAutospacing="1"/>
              <w:jc w:val="right"/>
              <w:rPr>
                <w:b w:val="0"/>
                <w:sz w:val="20"/>
              </w:rPr>
            </w:pPr>
            <w:r>
              <w:rPr>
                <w:b w:val="0"/>
                <w:sz w:val="20"/>
              </w:rPr>
              <w:t>39.3</w:t>
            </w:r>
          </w:p>
        </w:tc>
        <w:tc>
          <w:tcPr>
            <w:vAlign w:val="center"/>
          </w:tcPr>
          <w:p w:rsidR="001A6775">
            <w:pPr>
              <w:bidi w:val="0"/>
              <w:spacing w:after="0" w:afterAutospacing="1"/>
              <w:jc w:val="right"/>
              <w:rPr>
                <w:b w:val="0"/>
                <w:sz w:val="20"/>
              </w:rPr>
            </w:pPr>
            <w:r>
              <w:rPr>
                <w:b w:val="0"/>
                <w:sz w:val="20"/>
              </w:rPr>
              <w:t>28.3</w:t>
            </w:r>
          </w:p>
        </w:tc>
        <w:tc>
          <w:tcPr>
            <w:vAlign w:val="center"/>
          </w:tcPr>
          <w:p w:rsidR="001A6775">
            <w:pPr>
              <w:bidi w:val="0"/>
              <w:spacing w:after="0" w:afterAutospacing="1"/>
              <w:jc w:val="right"/>
              <w:rPr>
                <w:b w:val="0"/>
                <w:sz w:val="20"/>
              </w:rPr>
            </w:pPr>
            <w:r>
              <w:rPr>
                <w:b w:val="0"/>
                <w:sz w:val="20"/>
              </w:rPr>
              <w:t>+87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Households</w:t>
            </w:r>
          </w:p>
        </w:tc>
        <w:tc>
          <w:tcPr>
            <w:vAlign w:val="center"/>
          </w:tcPr>
          <w:p w:rsidR="001A6775">
            <w:pPr>
              <w:bidi w:val="0"/>
              <w:spacing w:after="0" w:afterAutospacing="1"/>
              <w:jc w:val="right"/>
              <w:rPr>
                <w:b/>
                <w:sz w:val="20"/>
              </w:rPr>
            </w:pPr>
            <w:r>
              <w:rPr>
                <w:b/>
                <w:sz w:val="20"/>
              </w:rPr>
              <w:t>2,701</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2,197</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+504</w:t>
            </w:r>
          </w:p>
        </w:tc>
      </w:tr>
    </w:tbl>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Household income - Quartile group dollar ranges</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Calculated from income data for New South Wales</w:t>
            </w:r>
          </w:p>
        </w:tc>
        <w:tc>
          <w:tcPr>
            <w:hMerge w:val="restart"/>
          </w:tcPr>
          <w:p w:rsidR="001A6775">
            <w:pPr>
              <w:bidi w:val="0"/>
              <w:spacing w:after="0" w:afterAutospacing="1"/>
              <w:jc w:val="center"/>
              <w:rPr>
                <w:b/>
                <w:sz w:val="20"/>
              </w:rPr>
            </w:pPr>
            <w:r>
              <w:rPr>
                <w:b/>
                <w:sz w:val="30"/>
              </w:rPr>
              <w:t>Weekly income by Census year</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Household income ranges</w:t>
            </w:r>
          </w:p>
        </w:tc>
        <w:tc>
          <w:tcPr>
            <w:vAlign w:val="center"/>
          </w:tcPr>
          <w:p w:rsidR="001A6775">
            <w:pPr>
              <w:bidi w:val="0"/>
              <w:spacing w:after="0" w:afterAutospacing="1"/>
              <w:jc w:val="right"/>
              <w:rPr>
                <w:b/>
                <w:sz w:val="20"/>
              </w:rPr>
            </w:pPr>
            <w:r>
              <w:rPr>
                <w:b/>
                <w:sz w:val="20"/>
              </w:rPr>
              <w:t>2021</w:t>
            </w:r>
          </w:p>
        </w:tc>
        <w:tc>
          <w:tcPr>
            <w:vAlign w:val="center"/>
          </w:tcPr>
          <w:p w:rsidR="001A6775">
            <w:pPr>
              <w:bidi w:val="0"/>
              <w:spacing w:after="0" w:afterAutospacing="1"/>
              <w:jc w:val="right"/>
              <w:rPr>
                <w:b/>
                <w:sz w:val="20"/>
              </w:rPr>
            </w:pPr>
            <w:r>
              <w:rPr>
                <w:b/>
                <w:sz w:val="20"/>
              </w:rPr>
              <w:t>2016</w:t>
            </w:r>
          </w:p>
        </w:tc>
        <w:tc>
          <w:tcPr>
            <w:vAlign w:val="center"/>
          </w:tcPr>
          <w:p w:rsidR="001A6775">
            <w:pPr>
              <w:bidi w:val="0"/>
              <w:spacing w:after="0" w:afterAutospacing="1"/>
              <w:jc w:val="right"/>
              <w:rPr>
                <w:b/>
                <w:sz w:val="20"/>
              </w:rPr>
            </w:pPr>
            <w:r>
              <w:rPr>
                <w:b/>
                <w:sz w:val="20"/>
              </w:rPr>
              <w:t>2011</w:t>
            </w:r>
          </w:p>
        </w:tc>
        <w:tc>
          <w:tcPr>
            <w:vAlign w:val="center"/>
          </w:tcPr>
          <w:p w:rsidR="001A6775">
            <w:pPr>
              <w:bidi w:val="0"/>
              <w:spacing w:after="0" w:afterAutospacing="1"/>
              <w:jc w:val="right"/>
              <w:rPr>
                <w:b/>
                <w:sz w:val="20"/>
              </w:rPr>
            </w:pPr>
            <w:r>
              <w:rPr>
                <w:b/>
                <w:sz w:val="20"/>
              </w:rPr>
              <w:t>2006</w:t>
            </w:r>
          </w:p>
        </w:tc>
        <w:tc>
          <w:tcPr>
            <w:vAlign w:val="center"/>
          </w:tcPr>
          <w:p w:rsidR="001A6775">
            <w:pPr>
              <w:bidi w:val="0"/>
              <w:spacing w:after="0" w:afterAutospacing="1"/>
              <w:jc w:val="right"/>
              <w:rPr>
                <w:b/>
                <w:sz w:val="20"/>
              </w:rPr>
            </w:pPr>
            <w:r>
              <w:rPr>
                <w:b/>
                <w:sz w:val="20"/>
              </w:rPr>
              <w:t>2001</w:t>
            </w:r>
          </w:p>
        </w:tc>
        <w:tc>
          <w:tcPr>
            <w:vAlign w:val="center"/>
          </w:tcPr>
          <w:p w:rsidR="001A6775">
            <w:pPr>
              <w:bidi w:val="0"/>
              <w:spacing w:after="0" w:afterAutospacing="1"/>
              <w:jc w:val="right"/>
              <w:rPr>
                <w:b/>
                <w:sz w:val="20"/>
              </w:rPr>
            </w:pPr>
            <w:r>
              <w:rPr>
                <w:b/>
                <w:sz w:val="20"/>
              </w:rPr>
              <w:t>1996</w:t>
            </w:r>
          </w:p>
        </w:tc>
        <w:tc>
          <w:tcPr>
            <w:vAlign w:val="center"/>
          </w:tcPr>
          <w:p w:rsidR="001A6775">
            <w:pPr>
              <w:bidi w:val="0"/>
              <w:spacing w:after="0" w:afterAutospacing="1"/>
              <w:jc w:val="right"/>
              <w:rPr>
                <w:b/>
                <w:sz w:val="20"/>
              </w:rPr>
            </w:pPr>
            <w:r>
              <w:rPr>
                <w:b/>
                <w:sz w:val="20"/>
              </w:rPr>
              <w:t>1991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Lowest group</w:t>
            </w:r>
          </w:p>
        </w:tc>
        <w:tc>
          <w:tcPr>
            <w:vAlign w:val="center"/>
          </w:tcPr>
          <w:p w:rsidR="001A6775">
            <w:pPr>
              <w:bidi w:val="0"/>
              <w:spacing w:after="0" w:afterAutospacing="1"/>
              <w:jc w:val="left"/>
              <w:rPr>
                <w:b w:val="0"/>
                <w:sz w:val="20"/>
              </w:rPr>
            </w:pPr>
            <w:r>
              <w:rPr>
                <w:b w:val="0"/>
                <w:sz w:val="20"/>
              </w:rPr>
              <w:t>$0 to $886</w:t>
            </w:r>
          </w:p>
        </w:tc>
        <w:tc>
          <w:tcPr>
            <w:vAlign w:val="center"/>
          </w:tcPr>
          <w:p w:rsidR="001A6775">
            <w:pPr>
              <w:bidi w:val="0"/>
              <w:spacing w:after="0" w:afterAutospacing="1"/>
              <w:jc w:val="left"/>
              <w:rPr>
                <w:b w:val="0"/>
                <w:sz w:val="20"/>
              </w:rPr>
            </w:pPr>
            <w:r>
              <w:rPr>
                <w:b w:val="0"/>
                <w:sz w:val="20"/>
              </w:rPr>
              <w:t>$0 to $750</w:t>
            </w:r>
          </w:p>
        </w:tc>
        <w:tc>
          <w:tcPr>
            <w:vAlign w:val="center"/>
          </w:tcPr>
          <w:p w:rsidR="001A6775">
            <w:pPr>
              <w:bidi w:val="0"/>
              <w:spacing w:after="0" w:afterAutospacing="1"/>
              <w:jc w:val="left"/>
              <w:rPr>
                <w:b w:val="0"/>
                <w:sz w:val="20"/>
              </w:rPr>
            </w:pPr>
            <w:r>
              <w:rPr>
                <w:b w:val="0"/>
                <w:sz w:val="20"/>
              </w:rPr>
              <w:t>$0 to $614</w:t>
            </w:r>
          </w:p>
        </w:tc>
        <w:tc>
          <w:tcPr>
            <w:vAlign w:val="center"/>
          </w:tcPr>
          <w:p w:rsidR="001A6775">
            <w:pPr>
              <w:bidi w:val="0"/>
              <w:spacing w:after="0" w:afterAutospacing="1"/>
              <w:jc w:val="left"/>
              <w:rPr>
                <w:b w:val="0"/>
                <w:sz w:val="20"/>
              </w:rPr>
            </w:pPr>
            <w:r>
              <w:rPr>
                <w:b w:val="0"/>
                <w:sz w:val="20"/>
              </w:rPr>
              <w:t>$0 to $530</w:t>
            </w:r>
          </w:p>
        </w:tc>
        <w:tc>
          <w:tcPr>
            <w:vAlign w:val="center"/>
          </w:tcPr>
          <w:p w:rsidR="001A6775">
            <w:pPr>
              <w:bidi w:val="0"/>
              <w:spacing w:after="0" w:afterAutospacing="1"/>
              <w:jc w:val="left"/>
              <w:rPr>
                <w:b w:val="0"/>
                <w:sz w:val="20"/>
              </w:rPr>
            </w:pPr>
            <w:r>
              <w:rPr>
                <w:b w:val="0"/>
                <w:sz w:val="20"/>
              </w:rPr>
              <w:t>$0 to $418</w:t>
            </w:r>
          </w:p>
        </w:tc>
        <w:tc>
          <w:tcPr>
            <w:vAlign w:val="center"/>
          </w:tcPr>
          <w:p w:rsidR="001A6775">
            <w:pPr>
              <w:bidi w:val="0"/>
              <w:spacing w:after="0" w:afterAutospacing="1"/>
              <w:jc w:val="left"/>
              <w:rPr>
                <w:b w:val="0"/>
                <w:sz w:val="20"/>
              </w:rPr>
            </w:pPr>
            <w:r>
              <w:rPr>
                <w:b w:val="0"/>
                <w:sz w:val="20"/>
              </w:rPr>
              <w:t>$0 to $337</w:t>
            </w:r>
          </w:p>
        </w:tc>
        <w:tc>
          <w:tcPr>
            <w:vAlign w:val="center"/>
          </w:tcPr>
          <w:p w:rsidR="001A6775">
            <w:pPr>
              <w:bidi w:val="0"/>
              <w:spacing w:after="0" w:afterAutospacing="1"/>
              <w:jc w:val="left"/>
              <w:rPr>
                <w:b w:val="0"/>
                <w:sz w:val="20"/>
              </w:rPr>
            </w:pPr>
            <w:r>
              <w:rPr>
                <w:b w:val="0"/>
                <w:sz w:val="20"/>
              </w:rPr>
              <w:t>$0 to $303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Medium lowest</w:t>
            </w:r>
          </w:p>
        </w:tc>
        <w:tc>
          <w:tcPr>
            <w:vAlign w:val="center"/>
          </w:tcPr>
          <w:p w:rsidR="001A6775">
            <w:pPr>
              <w:bidi w:val="0"/>
              <w:spacing w:after="0" w:afterAutospacing="1"/>
              <w:jc w:val="left"/>
              <w:rPr>
                <w:b w:val="0"/>
                <w:sz w:val="20"/>
              </w:rPr>
            </w:pPr>
            <w:r>
              <w:rPr>
                <w:b w:val="0"/>
                <w:sz w:val="20"/>
              </w:rPr>
              <w:t>$887 to $1,824</w:t>
            </w:r>
          </w:p>
        </w:tc>
        <w:tc>
          <w:tcPr>
            <w:vAlign w:val="center"/>
          </w:tcPr>
          <w:p w:rsidR="001A6775">
            <w:pPr>
              <w:bidi w:val="0"/>
              <w:spacing w:after="0" w:afterAutospacing="1"/>
              <w:jc w:val="left"/>
              <w:rPr>
                <w:b w:val="0"/>
                <w:sz w:val="20"/>
              </w:rPr>
            </w:pPr>
            <w:r>
              <w:rPr>
                <w:b w:val="0"/>
                <w:sz w:val="20"/>
              </w:rPr>
              <w:t>$751 to $1,481</w:t>
            </w:r>
          </w:p>
        </w:tc>
        <w:tc>
          <w:tcPr>
            <w:vAlign w:val="center"/>
          </w:tcPr>
          <w:p w:rsidR="001A6775">
            <w:pPr>
              <w:bidi w:val="0"/>
              <w:spacing w:after="0" w:afterAutospacing="1"/>
              <w:jc w:val="left"/>
              <w:rPr>
                <w:b w:val="0"/>
                <w:sz w:val="20"/>
              </w:rPr>
            </w:pPr>
            <w:r>
              <w:rPr>
                <w:b w:val="0"/>
                <w:sz w:val="20"/>
              </w:rPr>
              <w:t>$615 to $1,233</w:t>
            </w:r>
          </w:p>
        </w:tc>
        <w:tc>
          <w:tcPr>
            <w:vAlign w:val="center"/>
          </w:tcPr>
          <w:p w:rsidR="001A6775">
            <w:pPr>
              <w:bidi w:val="0"/>
              <w:spacing w:after="0" w:afterAutospacing="1"/>
              <w:jc w:val="left"/>
              <w:rPr>
                <w:b w:val="0"/>
                <w:sz w:val="20"/>
              </w:rPr>
            </w:pPr>
            <w:r>
              <w:rPr>
                <w:b w:val="0"/>
                <w:sz w:val="20"/>
              </w:rPr>
              <w:t>$531 to $1,034</w:t>
            </w:r>
          </w:p>
        </w:tc>
        <w:tc>
          <w:tcPr>
            <w:vAlign w:val="center"/>
          </w:tcPr>
          <w:p w:rsidR="001A6775">
            <w:pPr>
              <w:bidi w:val="0"/>
              <w:spacing w:after="0" w:afterAutospacing="1"/>
              <w:jc w:val="left"/>
              <w:rPr>
                <w:b w:val="0"/>
                <w:sz w:val="20"/>
              </w:rPr>
            </w:pPr>
            <w:r>
              <w:rPr>
                <w:b w:val="0"/>
                <w:sz w:val="20"/>
              </w:rPr>
              <w:t>$419 to $828</w:t>
            </w:r>
          </w:p>
        </w:tc>
        <w:tc>
          <w:tcPr>
            <w:vAlign w:val="center"/>
          </w:tcPr>
          <w:p w:rsidR="001A6775">
            <w:pPr>
              <w:bidi w:val="0"/>
              <w:spacing w:after="0" w:afterAutospacing="1"/>
              <w:jc w:val="left"/>
              <w:rPr>
                <w:b w:val="0"/>
                <w:sz w:val="20"/>
              </w:rPr>
            </w:pPr>
            <w:r>
              <w:rPr>
                <w:b w:val="0"/>
                <w:sz w:val="20"/>
              </w:rPr>
              <w:t>$338 to $652</w:t>
            </w:r>
          </w:p>
        </w:tc>
        <w:tc>
          <w:tcPr>
            <w:vAlign w:val="center"/>
          </w:tcPr>
          <w:p w:rsidR="001A6775">
            <w:pPr>
              <w:bidi w:val="0"/>
              <w:spacing w:after="0" w:afterAutospacing="1"/>
              <w:jc w:val="left"/>
              <w:rPr>
                <w:b w:val="0"/>
                <w:sz w:val="20"/>
              </w:rPr>
            </w:pPr>
            <w:r>
              <w:rPr>
                <w:b w:val="0"/>
                <w:sz w:val="20"/>
              </w:rPr>
              <w:t>$304 to $587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Medium highest</w:t>
            </w:r>
          </w:p>
        </w:tc>
        <w:tc>
          <w:tcPr>
            <w:vAlign w:val="center"/>
          </w:tcPr>
          <w:p w:rsidR="001A6775">
            <w:pPr>
              <w:bidi w:val="0"/>
              <w:spacing w:after="0" w:afterAutospacing="1"/>
              <w:jc w:val="left"/>
              <w:rPr>
                <w:b w:val="0"/>
                <w:sz w:val="20"/>
              </w:rPr>
            </w:pPr>
            <w:r>
              <w:rPr>
                <w:b w:val="0"/>
                <w:sz w:val="20"/>
              </w:rPr>
              <w:t>$1,825 to $3,134</w:t>
            </w:r>
          </w:p>
        </w:tc>
        <w:tc>
          <w:tcPr>
            <w:vAlign w:val="center"/>
          </w:tcPr>
          <w:p w:rsidR="001A6775">
            <w:pPr>
              <w:bidi w:val="0"/>
              <w:spacing w:after="0" w:afterAutospacing="1"/>
              <w:jc w:val="left"/>
              <w:rPr>
                <w:b w:val="0"/>
                <w:sz w:val="20"/>
              </w:rPr>
            </w:pPr>
            <w:r>
              <w:rPr>
                <w:b w:val="0"/>
                <w:sz w:val="20"/>
              </w:rPr>
              <w:t>$1,482 to $2,554</w:t>
            </w:r>
          </w:p>
        </w:tc>
        <w:tc>
          <w:tcPr>
            <w:vAlign w:val="center"/>
          </w:tcPr>
          <w:p w:rsidR="001A6775">
            <w:pPr>
              <w:bidi w:val="0"/>
              <w:spacing w:after="0" w:afterAutospacing="1"/>
              <w:jc w:val="left"/>
              <w:rPr>
                <w:b w:val="0"/>
                <w:sz w:val="20"/>
              </w:rPr>
            </w:pPr>
            <w:r>
              <w:rPr>
                <w:b w:val="0"/>
                <w:sz w:val="20"/>
              </w:rPr>
              <w:t>$1,234 to $2,272</w:t>
            </w:r>
          </w:p>
        </w:tc>
        <w:tc>
          <w:tcPr>
            <w:vAlign w:val="center"/>
          </w:tcPr>
          <w:p w:rsidR="001A6775">
            <w:pPr>
              <w:bidi w:val="0"/>
              <w:spacing w:after="0" w:afterAutospacing="1"/>
              <w:jc w:val="left"/>
              <w:rPr>
                <w:b w:val="0"/>
                <w:sz w:val="20"/>
              </w:rPr>
            </w:pPr>
            <w:r>
              <w:rPr>
                <w:b w:val="0"/>
                <w:sz w:val="20"/>
              </w:rPr>
              <w:t>$1,035 to $1,788</w:t>
            </w:r>
          </w:p>
        </w:tc>
        <w:tc>
          <w:tcPr>
            <w:vAlign w:val="center"/>
          </w:tcPr>
          <w:p w:rsidR="001A6775">
            <w:pPr>
              <w:bidi w:val="0"/>
              <w:spacing w:after="0" w:afterAutospacing="1"/>
              <w:jc w:val="left"/>
              <w:rPr>
                <w:b w:val="0"/>
                <w:sz w:val="20"/>
              </w:rPr>
            </w:pPr>
            <w:r>
              <w:rPr>
                <w:b w:val="0"/>
                <w:sz w:val="20"/>
              </w:rPr>
              <w:t>$829 to $1,462</w:t>
            </w:r>
          </w:p>
        </w:tc>
        <w:tc>
          <w:tcPr>
            <w:vAlign w:val="center"/>
          </w:tcPr>
          <w:p w:rsidR="001A6775">
            <w:pPr>
              <w:bidi w:val="0"/>
              <w:spacing w:after="0" w:afterAutospacing="1"/>
              <w:jc w:val="left"/>
              <w:rPr>
                <w:b w:val="0"/>
                <w:sz w:val="20"/>
              </w:rPr>
            </w:pPr>
            <w:r>
              <w:rPr>
                <w:b w:val="0"/>
                <w:sz w:val="20"/>
              </w:rPr>
              <w:t>$653 to $1,146</w:t>
            </w:r>
          </w:p>
        </w:tc>
        <w:tc>
          <w:tcPr>
            <w:vAlign w:val="center"/>
          </w:tcPr>
          <w:p w:rsidR="001A6775">
            <w:pPr>
              <w:bidi w:val="0"/>
              <w:spacing w:after="0" w:afterAutospacing="1"/>
              <w:jc w:val="left"/>
              <w:rPr>
                <w:b w:val="0"/>
                <w:sz w:val="20"/>
              </w:rPr>
            </w:pPr>
            <w:r>
              <w:rPr>
                <w:b w:val="0"/>
                <w:sz w:val="20"/>
              </w:rPr>
              <w:t>$588 to $981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Highest group</w:t>
            </w:r>
          </w:p>
        </w:tc>
        <w:tc>
          <w:tcPr>
            <w:vAlign w:val="center"/>
          </w:tcPr>
          <w:p w:rsidR="001A6775">
            <w:pPr>
              <w:bidi w:val="0"/>
              <w:spacing w:after="0" w:afterAutospacing="1"/>
              <w:jc w:val="left"/>
              <w:rPr>
                <w:b w:val="0"/>
                <w:sz w:val="20"/>
              </w:rPr>
            </w:pPr>
            <w:r>
              <w:rPr>
                <w:b w:val="0"/>
                <w:sz w:val="20"/>
              </w:rPr>
              <w:t>$3,135 and over</w:t>
            </w:r>
          </w:p>
        </w:tc>
        <w:tc>
          <w:tcPr>
            <w:vAlign w:val="center"/>
          </w:tcPr>
          <w:p w:rsidR="001A6775">
            <w:pPr>
              <w:bidi w:val="0"/>
              <w:spacing w:after="0" w:afterAutospacing="1"/>
              <w:jc w:val="left"/>
              <w:rPr>
                <w:b w:val="0"/>
                <w:sz w:val="20"/>
              </w:rPr>
            </w:pPr>
            <w:r>
              <w:rPr>
                <w:b w:val="0"/>
                <w:sz w:val="20"/>
              </w:rPr>
              <w:t>$2,555 and over</w:t>
            </w:r>
          </w:p>
        </w:tc>
        <w:tc>
          <w:tcPr>
            <w:vAlign w:val="center"/>
          </w:tcPr>
          <w:p w:rsidR="001A6775">
            <w:pPr>
              <w:bidi w:val="0"/>
              <w:spacing w:after="0" w:afterAutospacing="1"/>
              <w:jc w:val="left"/>
              <w:rPr>
                <w:b w:val="0"/>
                <w:sz w:val="20"/>
              </w:rPr>
            </w:pPr>
            <w:r>
              <w:rPr>
                <w:b w:val="0"/>
                <w:sz w:val="20"/>
              </w:rPr>
              <w:t>$2,273 and over</w:t>
            </w:r>
          </w:p>
        </w:tc>
        <w:tc>
          <w:tcPr>
            <w:vAlign w:val="center"/>
          </w:tcPr>
          <w:p w:rsidR="001A6775">
            <w:pPr>
              <w:bidi w:val="0"/>
              <w:spacing w:after="0" w:afterAutospacing="1"/>
              <w:jc w:val="left"/>
              <w:rPr>
                <w:b w:val="0"/>
                <w:sz w:val="20"/>
              </w:rPr>
            </w:pPr>
            <w:r>
              <w:rPr>
                <w:b w:val="0"/>
                <w:sz w:val="20"/>
              </w:rPr>
              <w:t>$1,789 and over</w:t>
            </w:r>
          </w:p>
        </w:tc>
        <w:tc>
          <w:tcPr>
            <w:vAlign w:val="center"/>
          </w:tcPr>
          <w:p w:rsidR="001A6775">
            <w:pPr>
              <w:bidi w:val="0"/>
              <w:spacing w:after="0" w:afterAutospacing="1"/>
              <w:jc w:val="left"/>
              <w:rPr>
                <w:b w:val="0"/>
                <w:sz w:val="20"/>
              </w:rPr>
            </w:pPr>
            <w:r>
              <w:rPr>
                <w:b w:val="0"/>
                <w:sz w:val="20"/>
              </w:rPr>
              <w:t>$1,463 and over</w:t>
            </w:r>
          </w:p>
        </w:tc>
        <w:tc>
          <w:tcPr>
            <w:vAlign w:val="center"/>
          </w:tcPr>
          <w:p w:rsidR="001A6775">
            <w:pPr>
              <w:bidi w:val="0"/>
              <w:spacing w:after="0" w:afterAutospacing="1"/>
              <w:jc w:val="left"/>
              <w:rPr>
                <w:b w:val="0"/>
                <w:sz w:val="20"/>
              </w:rPr>
            </w:pPr>
            <w:r>
              <w:rPr>
                <w:b w:val="0"/>
                <w:sz w:val="20"/>
              </w:rPr>
              <w:t>$1,147 and over</w:t>
            </w:r>
          </w:p>
        </w:tc>
        <w:tc>
          <w:tcPr>
            <w:vAlign w:val="center"/>
          </w:tcPr>
          <w:p w:rsidR="001A6775">
            <w:pPr>
              <w:bidi w:val="0"/>
              <w:spacing w:after="0" w:afterAutospacing="1"/>
              <w:jc w:val="left"/>
              <w:rPr>
                <w:b w:val="0"/>
                <w:sz w:val="20"/>
              </w:rPr>
            </w:pPr>
            <w:r>
              <w:rPr>
                <w:b w:val="0"/>
                <w:sz w:val="20"/>
              </w:rPr>
              <w:t>$982 and over</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280" w:afterAutospacing="1"/>
      </w:pPr>
      <w:r>
        <w:rPr>
          <w:rtl w:val="0"/>
        </w:rPr>
        <w:t>Income quartiles allow us to compare relative income-earning capabilities across time. Analysis of the distribution of households by income quartile in North Rocks compared to City of Parramatta shows that there was greater proportion of households in the highest income quartile and a lesser proportion in the lowest income quartile.</w:t>
      </w:r>
    </w:p>
    <w:p w:rsidR="001A6775">
      <w:pPr>
        <w:bidi w:val="0"/>
        <w:spacing w:after="280" w:afterAutospacing="1"/>
      </w:pPr>
      <w:r>
        <w:rPr>
          <w:rtl w:val="0"/>
        </w:rPr>
        <w:t>The most significant change in North Rocks between 2016 and 2021 was in the lowest quartile which showed an increase of 148 households.</w:t>
      </w:r>
    </w:p>
    <w:p w:rsidR="001A6775">
      <w:pPr>
        <w:bidi w:val="0"/>
        <w:spacing w:after="280" w:afterAutospacing="1"/>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