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Parramatta</w:t>
      </w:r>
    </w:p>
    <w:p w:rsidR="001A6775">
      <w:pPr>
        <w:pStyle w:val="Heading4"/>
        <w:bidi w:val="0"/>
        <w:spacing w:after="280" w:afterAutospacing="1"/>
      </w:pPr>
      <w:r>
        <w:rPr>
          <w:rtl w:val="0"/>
        </w:rPr>
        <w:t>Unpaid domestic work</w:t>
      </w:r>
    </w:p>
    <w:p w:rsidR="001A6775">
      <w:pPr>
        <w:bidi w:val="0"/>
        <w:spacing w:after="280" w:afterAutospacing="1"/>
      </w:pPr>
      <w:r>
        <w:rPr>
          <w:rtl w:val="0"/>
        </w:rPr>
        <w:t xml:space="preserve">There has been increased interest in identifying, acknowledging and valuing the unpaid work that supports home and community life. The changing amount of time spent on unpaid housework in different </w:t>
      </w:r>
      <w:r>
        <w:rPr>
          <w:rtl w:val="0"/>
        </w:rPr>
        <w:fldChar w:fldCharType="begin"/>
      </w:r>
      <w:r>
        <w:rPr>
          <w:rtl w:val="0"/>
        </w:rPr>
        <w:instrText xml:space="preserve"> HYPERLINK "households?[QS]" </w:instrText>
      </w:r>
      <w:r>
        <w:rPr>
          <w:rtl w:val="0"/>
        </w:rPr>
        <w:fldChar w:fldCharType="separate"/>
      </w:r>
      <w:r>
        <w:rPr>
          <w:color w:val="0000FF"/>
          <w:u w:val="single"/>
          <w:rtl w:val="0"/>
        </w:rPr>
        <w:t>Household Types</w:t>
      </w:r>
      <w:r>
        <w:rPr>
          <w:rtl w:val="0"/>
        </w:rPr>
        <w:fldChar w:fldCharType="end"/>
      </w:r>
      <w:r>
        <w:rPr>
          <w:rtl w:val="0"/>
        </w:rPr>
        <w:t xml:space="preserve"> and, particularly the distribution of this work within the household, can indicate the changing roles of males, females and older children in society. The level of unpaid domestic work in North Rocks may also be related to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as higher income households are able to outsource some of these tasks.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Unpaid domestic work</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North Rocks - Persons aged 15+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Hours spent on unpaid domestic work</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Did unpaid domestic work</w:t>
            </w:r>
          </w:p>
        </w:tc>
        <w:tc>
          <w:tcPr>
            <w:vAlign w:val="center"/>
          </w:tcPr>
          <w:p w:rsidR="001A6775">
            <w:pPr>
              <w:bidi w:val="0"/>
              <w:spacing w:after="0" w:afterAutospacing="1"/>
              <w:jc w:val="right"/>
              <w:rPr>
                <w:b w:val="0"/>
                <w:sz w:val="20"/>
              </w:rPr>
            </w:pPr>
            <w:r>
              <w:rPr>
                <w:b w:val="0"/>
                <w:sz w:val="20"/>
              </w:rPr>
              <w:t>4,950</w:t>
            </w:r>
          </w:p>
        </w:tc>
        <w:tc>
          <w:tcPr>
            <w:vAlign w:val="center"/>
          </w:tcPr>
          <w:p w:rsidR="001A6775">
            <w:pPr>
              <w:bidi w:val="0"/>
              <w:spacing w:after="0" w:afterAutospacing="1"/>
              <w:jc w:val="right"/>
              <w:rPr>
                <w:b w:val="0"/>
                <w:sz w:val="20"/>
              </w:rPr>
            </w:pPr>
            <w:r>
              <w:rPr>
                <w:b w:val="0"/>
                <w:sz w:val="20"/>
              </w:rPr>
              <w:t>71.9</w:t>
            </w:r>
          </w:p>
        </w:tc>
        <w:tc>
          <w:tcPr>
            <w:vAlign w:val="center"/>
          </w:tcPr>
          <w:p w:rsidR="001A6775">
            <w:pPr>
              <w:bidi w:val="0"/>
              <w:spacing w:after="0" w:afterAutospacing="1"/>
              <w:jc w:val="right"/>
              <w:rPr>
                <w:b w:val="0"/>
                <w:sz w:val="20"/>
              </w:rPr>
            </w:pPr>
            <w:r>
              <w:rPr>
                <w:b w:val="0"/>
                <w:sz w:val="20"/>
              </w:rPr>
              <w:t>63.0</w:t>
            </w:r>
          </w:p>
        </w:tc>
        <w:tc>
          <w:tcPr>
            <w:vAlign w:val="center"/>
          </w:tcPr>
          <w:p w:rsidR="001A6775">
            <w:pPr>
              <w:bidi w:val="0"/>
              <w:spacing w:after="0" w:afterAutospacing="1"/>
              <w:jc w:val="right"/>
              <w:rPr>
                <w:b w:val="0"/>
                <w:sz w:val="20"/>
              </w:rPr>
            </w:pPr>
            <w:r>
              <w:rPr>
                <w:b w:val="0"/>
                <w:sz w:val="20"/>
              </w:rPr>
              <w:t>4,599</w:t>
            </w:r>
          </w:p>
        </w:tc>
        <w:tc>
          <w:tcPr>
            <w:vAlign w:val="center"/>
          </w:tcPr>
          <w:p w:rsidR="001A6775">
            <w:pPr>
              <w:bidi w:val="0"/>
              <w:spacing w:after="0" w:afterAutospacing="1"/>
              <w:jc w:val="right"/>
              <w:rPr>
                <w:b w:val="0"/>
                <w:sz w:val="20"/>
              </w:rPr>
            </w:pPr>
            <w:r>
              <w:rPr>
                <w:b w:val="0"/>
                <w:sz w:val="20"/>
              </w:rPr>
              <w:t>76.3</w:t>
            </w:r>
          </w:p>
        </w:tc>
        <w:tc>
          <w:tcPr>
            <w:vAlign w:val="center"/>
          </w:tcPr>
          <w:p w:rsidR="001A6775">
            <w:pPr>
              <w:bidi w:val="0"/>
              <w:spacing w:after="0" w:afterAutospacing="1"/>
              <w:jc w:val="right"/>
              <w:rPr>
                <w:b w:val="0"/>
                <w:sz w:val="20"/>
              </w:rPr>
            </w:pPr>
            <w:r>
              <w:rPr>
                <w:b w:val="0"/>
                <w:sz w:val="20"/>
              </w:rPr>
              <w:t>66.2</w:t>
            </w:r>
          </w:p>
        </w:tc>
        <w:tc>
          <w:tcPr>
            <w:vAlign w:val="center"/>
          </w:tcPr>
          <w:p w:rsidR="001A6775">
            <w:pPr>
              <w:bidi w:val="0"/>
              <w:spacing w:after="0" w:afterAutospacing="1"/>
              <w:jc w:val="right"/>
              <w:rPr>
                <w:b w:val="0"/>
                <w:sz w:val="20"/>
              </w:rPr>
            </w:pPr>
            <w:r>
              <w:rPr>
                <w:b w:val="0"/>
                <w:sz w:val="20"/>
              </w:rPr>
              <w:t>+351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Less than 5 hours</w:t>
            </w:r>
          </w:p>
        </w:tc>
        <w:tc>
          <w:tcPr>
            <w:vAlign w:val="center"/>
          </w:tcPr>
          <w:p w:rsidR="001A6775">
            <w:pPr>
              <w:bidi w:val="0"/>
              <w:spacing w:after="0" w:afterAutospacing="1"/>
              <w:jc w:val="right"/>
              <w:rPr>
                <w:b w:val="0"/>
                <w:sz w:val="20"/>
              </w:rPr>
            </w:pPr>
            <w:r>
              <w:rPr>
                <w:b w:val="0"/>
                <w:sz w:val="20"/>
              </w:rPr>
              <w:t>1,286</w:t>
            </w:r>
          </w:p>
        </w:tc>
        <w:tc>
          <w:tcPr>
            <w:vAlign w:val="center"/>
          </w:tcPr>
          <w:p w:rsidR="001A6775">
            <w:pPr>
              <w:bidi w:val="0"/>
              <w:spacing w:after="0" w:afterAutospacing="1"/>
              <w:jc w:val="right"/>
              <w:rPr>
                <w:b w:val="0"/>
                <w:sz w:val="20"/>
              </w:rPr>
            </w:pPr>
            <w:r>
              <w:rPr>
                <w:b w:val="0"/>
                <w:sz w:val="20"/>
              </w:rPr>
              <w:t>18.7</w:t>
            </w:r>
          </w:p>
        </w:tc>
        <w:tc>
          <w:tcPr>
            <w:vAlign w:val="center"/>
          </w:tcPr>
          <w:p w:rsidR="001A6775">
            <w:pPr>
              <w:bidi w:val="0"/>
              <w:spacing w:after="0" w:afterAutospacing="1"/>
              <w:jc w:val="right"/>
              <w:rPr>
                <w:b w:val="0"/>
                <w:sz w:val="20"/>
              </w:rPr>
            </w:pPr>
            <w:r>
              <w:rPr>
                <w:b w:val="0"/>
                <w:sz w:val="20"/>
              </w:rPr>
              <w:t>17.4</w:t>
            </w:r>
          </w:p>
        </w:tc>
        <w:tc>
          <w:tcPr>
            <w:vAlign w:val="center"/>
          </w:tcPr>
          <w:p w:rsidR="001A6775">
            <w:pPr>
              <w:bidi w:val="0"/>
              <w:spacing w:after="0" w:afterAutospacing="1"/>
              <w:jc w:val="right"/>
              <w:rPr>
                <w:b w:val="0"/>
                <w:sz w:val="20"/>
              </w:rPr>
            </w:pPr>
            <w:r>
              <w:rPr>
                <w:b w:val="0"/>
                <w:sz w:val="20"/>
              </w:rPr>
              <w:t>1,420</w:t>
            </w:r>
          </w:p>
        </w:tc>
        <w:tc>
          <w:tcPr>
            <w:vAlign w:val="center"/>
          </w:tcPr>
          <w:p w:rsidR="001A6775">
            <w:pPr>
              <w:bidi w:val="0"/>
              <w:spacing w:after="0" w:afterAutospacing="1"/>
              <w:jc w:val="right"/>
              <w:rPr>
                <w:b w:val="0"/>
                <w:sz w:val="20"/>
              </w:rPr>
            </w:pPr>
            <w:r>
              <w:rPr>
                <w:b w:val="0"/>
                <w:sz w:val="20"/>
              </w:rPr>
              <w:t>23.6</w:t>
            </w:r>
          </w:p>
        </w:tc>
        <w:tc>
          <w:tcPr>
            <w:vAlign w:val="center"/>
          </w:tcPr>
          <w:p w:rsidR="001A6775">
            <w:pPr>
              <w:bidi w:val="0"/>
              <w:spacing w:after="0" w:afterAutospacing="1"/>
              <w:jc w:val="right"/>
              <w:rPr>
                <w:b w:val="0"/>
                <w:sz w:val="20"/>
              </w:rPr>
            </w:pPr>
            <w:r>
              <w:rPr>
                <w:b w:val="0"/>
                <w:sz w:val="20"/>
              </w:rPr>
              <w:t>22.6</w:t>
            </w:r>
          </w:p>
        </w:tc>
        <w:tc>
          <w:tcPr>
            <w:vAlign w:val="center"/>
          </w:tcPr>
          <w:p w:rsidR="001A6775">
            <w:pPr>
              <w:bidi w:val="0"/>
              <w:spacing w:after="0" w:afterAutospacing="1"/>
              <w:jc w:val="right"/>
              <w:rPr>
                <w:b w:val="0"/>
                <w:sz w:val="20"/>
              </w:rPr>
            </w:pPr>
            <w:r>
              <w:rPr>
                <w:b w:val="0"/>
                <w:sz w:val="20"/>
              </w:rPr>
              <w:t>-135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Between 5 and 14 hours</w:t>
            </w:r>
          </w:p>
        </w:tc>
        <w:tc>
          <w:tcPr>
            <w:vAlign w:val="center"/>
          </w:tcPr>
          <w:p w:rsidR="001A6775">
            <w:pPr>
              <w:bidi w:val="0"/>
              <w:spacing w:after="0" w:afterAutospacing="1"/>
              <w:jc w:val="right"/>
              <w:rPr>
                <w:b w:val="0"/>
                <w:sz w:val="20"/>
              </w:rPr>
            </w:pPr>
            <w:r>
              <w:rPr>
                <w:b w:val="0"/>
                <w:sz w:val="20"/>
              </w:rPr>
              <w:t>1,894</w:t>
            </w:r>
          </w:p>
        </w:tc>
        <w:tc>
          <w:tcPr>
            <w:vAlign w:val="center"/>
          </w:tcPr>
          <w:p w:rsidR="001A6775">
            <w:pPr>
              <w:bidi w:val="0"/>
              <w:spacing w:after="0" w:afterAutospacing="1"/>
              <w:jc w:val="right"/>
              <w:rPr>
                <w:b w:val="0"/>
                <w:sz w:val="20"/>
              </w:rPr>
            </w:pPr>
            <w:r>
              <w:rPr>
                <w:b w:val="0"/>
                <w:sz w:val="20"/>
              </w:rPr>
              <w:t>27.5</w:t>
            </w:r>
          </w:p>
        </w:tc>
        <w:tc>
          <w:tcPr>
            <w:vAlign w:val="center"/>
          </w:tcPr>
          <w:p w:rsidR="001A6775">
            <w:pPr>
              <w:bidi w:val="0"/>
              <w:spacing w:after="0" w:afterAutospacing="1"/>
              <w:jc w:val="right"/>
              <w:rPr>
                <w:b w:val="0"/>
                <w:sz w:val="20"/>
              </w:rPr>
            </w:pPr>
            <w:r>
              <w:rPr>
                <w:b w:val="0"/>
                <w:sz w:val="20"/>
              </w:rPr>
              <w:t>25.0</w:t>
            </w:r>
          </w:p>
        </w:tc>
        <w:tc>
          <w:tcPr>
            <w:vAlign w:val="center"/>
          </w:tcPr>
          <w:p w:rsidR="001A6775">
            <w:pPr>
              <w:bidi w:val="0"/>
              <w:spacing w:after="0" w:afterAutospacing="1"/>
              <w:jc w:val="right"/>
              <w:rPr>
                <w:b w:val="0"/>
                <w:sz w:val="20"/>
              </w:rPr>
            </w:pPr>
            <w:r>
              <w:rPr>
                <w:b w:val="0"/>
                <w:sz w:val="20"/>
              </w:rPr>
              <w:t>1,699</w:t>
            </w:r>
          </w:p>
        </w:tc>
        <w:tc>
          <w:tcPr>
            <w:vAlign w:val="center"/>
          </w:tcPr>
          <w:p w:rsidR="001A6775">
            <w:pPr>
              <w:bidi w:val="0"/>
              <w:spacing w:after="0" w:afterAutospacing="1"/>
              <w:jc w:val="right"/>
              <w:rPr>
                <w:b w:val="0"/>
                <w:sz w:val="20"/>
              </w:rPr>
            </w:pPr>
            <w:r>
              <w:rPr>
                <w:b w:val="0"/>
                <w:sz w:val="20"/>
              </w:rPr>
              <w:t>28.2</w:t>
            </w:r>
          </w:p>
        </w:tc>
        <w:tc>
          <w:tcPr>
            <w:vAlign w:val="center"/>
          </w:tcPr>
          <w:p w:rsidR="001A6775">
            <w:pPr>
              <w:bidi w:val="0"/>
              <w:spacing w:after="0" w:afterAutospacing="1"/>
              <w:jc w:val="right"/>
              <w:rPr>
                <w:b w:val="0"/>
                <w:sz w:val="20"/>
              </w:rPr>
            </w:pPr>
            <w:r>
              <w:rPr>
                <w:b w:val="0"/>
                <w:sz w:val="20"/>
              </w:rPr>
              <w:t>24.3</w:t>
            </w:r>
          </w:p>
        </w:tc>
        <w:tc>
          <w:tcPr>
            <w:vAlign w:val="center"/>
          </w:tcPr>
          <w:p w:rsidR="001A6775">
            <w:pPr>
              <w:bidi w:val="0"/>
              <w:spacing w:after="0" w:afterAutospacing="1"/>
              <w:jc w:val="right"/>
              <w:rPr>
                <w:b w:val="0"/>
                <w:sz w:val="20"/>
              </w:rPr>
            </w:pPr>
            <w:r>
              <w:rPr>
                <w:b w:val="0"/>
                <w:sz w:val="20"/>
              </w:rPr>
              <w:t>+194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Between 15 and 29 hours</w:t>
            </w:r>
          </w:p>
        </w:tc>
        <w:tc>
          <w:tcPr>
            <w:vAlign w:val="center"/>
          </w:tcPr>
          <w:p w:rsidR="001A6775">
            <w:pPr>
              <w:bidi w:val="0"/>
              <w:spacing w:after="0" w:afterAutospacing="1"/>
              <w:jc w:val="right"/>
              <w:rPr>
                <w:b w:val="0"/>
                <w:sz w:val="20"/>
              </w:rPr>
            </w:pPr>
            <w:r>
              <w:rPr>
                <w:b w:val="0"/>
                <w:sz w:val="20"/>
              </w:rPr>
              <w:t>1,051</w:t>
            </w:r>
          </w:p>
        </w:tc>
        <w:tc>
          <w:tcPr>
            <w:vAlign w:val="center"/>
          </w:tcPr>
          <w:p w:rsidR="001A6775">
            <w:pPr>
              <w:bidi w:val="0"/>
              <w:spacing w:after="0" w:afterAutospacing="1"/>
              <w:jc w:val="right"/>
              <w:rPr>
                <w:b w:val="0"/>
                <w:sz w:val="20"/>
              </w:rPr>
            </w:pPr>
            <w:r>
              <w:rPr>
                <w:b w:val="0"/>
                <w:sz w:val="20"/>
              </w:rPr>
              <w:t>15.3</w:t>
            </w:r>
          </w:p>
        </w:tc>
        <w:tc>
          <w:tcPr>
            <w:vAlign w:val="center"/>
          </w:tcPr>
          <w:p w:rsidR="001A6775">
            <w:pPr>
              <w:bidi w:val="0"/>
              <w:spacing w:after="0" w:afterAutospacing="1"/>
              <w:jc w:val="right"/>
              <w:rPr>
                <w:b w:val="0"/>
                <w:sz w:val="20"/>
              </w:rPr>
            </w:pPr>
            <w:r>
              <w:rPr>
                <w:b w:val="0"/>
                <w:sz w:val="20"/>
              </w:rPr>
              <w:t>11.9</w:t>
            </w:r>
          </w:p>
        </w:tc>
        <w:tc>
          <w:tcPr>
            <w:vAlign w:val="center"/>
          </w:tcPr>
          <w:p w:rsidR="001A6775">
            <w:pPr>
              <w:bidi w:val="0"/>
              <w:spacing w:after="0" w:afterAutospacing="1"/>
              <w:jc w:val="right"/>
              <w:rPr>
                <w:b w:val="0"/>
                <w:sz w:val="20"/>
              </w:rPr>
            </w:pPr>
            <w:r>
              <w:rPr>
                <w:b w:val="0"/>
                <w:sz w:val="20"/>
              </w:rPr>
              <w:t>811</w:t>
            </w:r>
          </w:p>
        </w:tc>
        <w:tc>
          <w:tcPr>
            <w:vAlign w:val="center"/>
          </w:tcPr>
          <w:p w:rsidR="001A6775">
            <w:pPr>
              <w:bidi w:val="0"/>
              <w:spacing w:after="0" w:afterAutospacing="1"/>
              <w:jc w:val="right"/>
              <w:rPr>
                <w:b w:val="0"/>
                <w:sz w:val="20"/>
              </w:rPr>
            </w:pPr>
            <w:r>
              <w:rPr>
                <w:b w:val="0"/>
                <w:sz w:val="20"/>
              </w:rPr>
              <w:t>13.5</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+239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30 hours or more</w:t>
            </w:r>
          </w:p>
        </w:tc>
        <w:tc>
          <w:tcPr>
            <w:vAlign w:val="center"/>
          </w:tcPr>
          <w:p w:rsidR="001A6775">
            <w:pPr>
              <w:bidi w:val="0"/>
              <w:spacing w:after="0" w:afterAutospacing="1"/>
              <w:jc w:val="right"/>
              <w:rPr>
                <w:b w:val="0"/>
                <w:sz w:val="20"/>
              </w:rPr>
            </w:pPr>
            <w:r>
              <w:rPr>
                <w:b w:val="0"/>
                <w:sz w:val="20"/>
              </w:rPr>
              <w:t>719</w:t>
            </w:r>
          </w:p>
        </w:tc>
        <w:tc>
          <w:tcPr>
            <w:vAlign w:val="center"/>
          </w:tcPr>
          <w:p w:rsidR="001A6775">
            <w:pPr>
              <w:bidi w:val="0"/>
              <w:spacing w:after="0" w:afterAutospacing="1"/>
              <w:jc w:val="right"/>
              <w:rPr>
                <w:b w:val="0"/>
                <w:sz w:val="20"/>
              </w:rPr>
            </w:pPr>
            <w:r>
              <w:rPr>
                <w:b w:val="0"/>
                <w:sz w:val="20"/>
              </w:rPr>
              <w:t>10.4</w:t>
            </w:r>
          </w:p>
        </w:tc>
        <w:tc>
          <w:tcPr>
            <w:vAlign w:val="center"/>
          </w:tcPr>
          <w:p w:rsidR="001A6775">
            <w:pPr>
              <w:bidi w:val="0"/>
              <w:spacing w:after="0" w:afterAutospacing="1"/>
              <w:jc w:val="right"/>
              <w:rPr>
                <w:b w:val="0"/>
                <w:sz w:val="20"/>
              </w:rPr>
            </w:pPr>
            <w:r>
              <w:rPr>
                <w:b w:val="0"/>
                <w:sz w:val="20"/>
              </w:rPr>
              <w:t>8.7</w:t>
            </w:r>
          </w:p>
        </w:tc>
        <w:tc>
          <w:tcPr>
            <w:vAlign w:val="center"/>
          </w:tcPr>
          <w:p w:rsidR="001A6775">
            <w:pPr>
              <w:bidi w:val="0"/>
              <w:spacing w:after="0" w:afterAutospacing="1"/>
              <w:jc w:val="right"/>
              <w:rPr>
                <w:b w:val="0"/>
                <w:sz w:val="20"/>
              </w:rPr>
            </w:pPr>
            <w:r>
              <w:rPr>
                <w:b w:val="0"/>
                <w:sz w:val="20"/>
              </w:rPr>
              <w:t>667</w:t>
            </w:r>
          </w:p>
        </w:tc>
        <w:tc>
          <w:tcPr>
            <w:vAlign w:val="center"/>
          </w:tcPr>
          <w:p w:rsidR="001A6775">
            <w:pPr>
              <w:bidi w:val="0"/>
              <w:spacing w:after="0" w:afterAutospacing="1"/>
              <w:jc w:val="right"/>
              <w:rPr>
                <w:b w:val="0"/>
                <w:sz w:val="20"/>
              </w:rPr>
            </w:pPr>
            <w:r>
              <w:rPr>
                <w:b w:val="0"/>
                <w:sz w:val="20"/>
              </w:rPr>
              <w:t>11.1</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Did no unpaid domestic work</w:t>
            </w:r>
          </w:p>
        </w:tc>
        <w:tc>
          <w:tcPr>
            <w:vAlign w:val="center"/>
          </w:tcPr>
          <w:p w:rsidR="001A6775">
            <w:pPr>
              <w:bidi w:val="0"/>
              <w:spacing w:after="0" w:afterAutospacing="1"/>
              <w:jc w:val="right"/>
              <w:rPr>
                <w:b w:val="0"/>
                <w:sz w:val="20"/>
              </w:rPr>
            </w:pPr>
            <w:r>
              <w:rPr>
                <w:b w:val="0"/>
                <w:sz w:val="20"/>
              </w:rPr>
              <w:t>1,728</w:t>
            </w:r>
          </w:p>
        </w:tc>
        <w:tc>
          <w:tcPr>
            <w:vAlign w:val="center"/>
          </w:tcPr>
          <w:p w:rsidR="001A6775">
            <w:pPr>
              <w:bidi w:val="0"/>
              <w:spacing w:after="0" w:afterAutospacing="1"/>
              <w:jc w:val="right"/>
              <w:rPr>
                <w:b w:val="0"/>
                <w:sz w:val="20"/>
              </w:rPr>
            </w:pPr>
            <w:r>
              <w:rPr>
                <w:b w:val="0"/>
                <w:sz w:val="20"/>
              </w:rPr>
              <w:t>25.1</w:t>
            </w:r>
          </w:p>
        </w:tc>
        <w:tc>
          <w:tcPr>
            <w:vAlign w:val="center"/>
          </w:tcPr>
          <w:p w:rsidR="001A6775">
            <w:pPr>
              <w:bidi w:val="0"/>
              <w:spacing w:after="0" w:afterAutospacing="1"/>
              <w:jc w:val="right"/>
              <w:rPr>
                <w:b w:val="0"/>
                <w:sz w:val="20"/>
              </w:rPr>
            </w:pPr>
            <w:r>
              <w:rPr>
                <w:b w:val="0"/>
                <w:sz w:val="20"/>
              </w:rPr>
              <w:t>30.9</w:t>
            </w:r>
          </w:p>
        </w:tc>
        <w:tc>
          <w:tcPr>
            <w:vAlign w:val="center"/>
          </w:tcPr>
          <w:p w:rsidR="001A6775">
            <w:pPr>
              <w:bidi w:val="0"/>
              <w:spacing w:after="0" w:afterAutospacing="1"/>
              <w:jc w:val="right"/>
              <w:rPr>
                <w:b w:val="0"/>
                <w:sz w:val="20"/>
              </w:rPr>
            </w:pPr>
            <w:r>
              <w:rPr>
                <w:b w:val="0"/>
                <w:sz w:val="20"/>
              </w:rPr>
              <w:t>1,208</w:t>
            </w:r>
          </w:p>
        </w:tc>
        <w:tc>
          <w:tcPr>
            <w:vAlign w:val="center"/>
          </w:tcPr>
          <w:p w:rsidR="001A6775">
            <w:pPr>
              <w:bidi w:val="0"/>
              <w:spacing w:after="0" w:afterAutospacing="1"/>
              <w:jc w:val="right"/>
              <w:rPr>
                <w:b w:val="0"/>
                <w:sz w:val="20"/>
              </w:rPr>
            </w:pPr>
            <w:r>
              <w:rPr>
                <w:b w:val="0"/>
                <w:sz w:val="20"/>
              </w:rPr>
              <w:t>20.0</w:t>
            </w:r>
          </w:p>
        </w:tc>
        <w:tc>
          <w:tcPr>
            <w:vAlign w:val="center"/>
          </w:tcPr>
          <w:p w:rsidR="001A6775">
            <w:pPr>
              <w:bidi w:val="0"/>
              <w:spacing w:after="0" w:afterAutospacing="1"/>
              <w:jc w:val="right"/>
              <w:rPr>
                <w:b w:val="0"/>
                <w:sz w:val="20"/>
              </w:rPr>
            </w:pPr>
            <w:r>
              <w:rPr>
                <w:b w:val="0"/>
                <w:sz w:val="20"/>
              </w:rPr>
              <w:t>25.8</w:t>
            </w:r>
          </w:p>
        </w:tc>
        <w:tc>
          <w:tcPr>
            <w:vAlign w:val="center"/>
          </w:tcPr>
          <w:p w:rsidR="001A6775">
            <w:pPr>
              <w:bidi w:val="0"/>
              <w:spacing w:after="0" w:afterAutospacing="1"/>
              <w:jc w:val="right"/>
              <w:rPr>
                <w:b w:val="0"/>
                <w:sz w:val="20"/>
              </w:rPr>
            </w:pPr>
            <w:r>
              <w:rPr>
                <w:b w:val="0"/>
                <w:sz w:val="20"/>
              </w:rPr>
              <w:t>+520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205</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6.1</w:t>
            </w:r>
          </w:p>
        </w:tc>
        <w:tc>
          <w:tcPr>
            <w:vAlign w:val="center"/>
          </w:tcPr>
          <w:p w:rsidR="001A6775">
            <w:pPr>
              <w:bidi w:val="0"/>
              <w:spacing w:after="0" w:afterAutospacing="1"/>
              <w:jc w:val="right"/>
              <w:rPr>
                <w:b w:val="0"/>
                <w:sz w:val="20"/>
              </w:rPr>
            </w:pPr>
            <w:r>
              <w:rPr>
                <w:b w:val="0"/>
                <w:sz w:val="20"/>
              </w:rPr>
              <w:t>223</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8.0</w:t>
            </w:r>
          </w:p>
        </w:tc>
        <w:tc>
          <w:tcPr>
            <w:vAlign w:val="center"/>
          </w:tcPr>
          <w:p w:rsidR="001A6775">
            <w:pPr>
              <w:bidi w:val="0"/>
              <w:spacing w:after="0" w:afterAutospacing="1"/>
              <w:jc w:val="right"/>
              <w:rPr>
                <w:b w:val="0"/>
                <w:sz w:val="20"/>
              </w:rPr>
            </w:pPr>
            <w:r>
              <w:rPr>
                <w:b w:val="0"/>
                <w:sz w:val="20"/>
              </w:rPr>
              <w:t>-19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persons aged 15+</w:t>
            </w:r>
          </w:p>
        </w:tc>
        <w:tc>
          <w:tcPr>
            <w:vAlign w:val="center"/>
          </w:tcPr>
          <w:p w:rsidR="001A6775">
            <w:pPr>
              <w:bidi w:val="0"/>
              <w:spacing w:after="0" w:afterAutospacing="1"/>
              <w:jc w:val="right"/>
              <w:rPr>
                <w:b/>
                <w:sz w:val="20"/>
              </w:rPr>
            </w:pPr>
            <w:r>
              <w:rPr>
                <w:b/>
                <w:sz w:val="20"/>
              </w:rPr>
              <w:t>6,883</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6,031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+852</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unpaid domestic work performed by the population in North Rocks in 2021 compared to City of Parramatta shows that there was a higher proportion of persons who performed 15 hours or more of unpaid domestic work per week.</w:t>
      </w:r>
    </w:p>
    <w:p>
      <w:pPr>
        <w:bidi w:val="0"/>
        <w:spacing w:after="280" w:afterAutospacing="1"/>
        <w:rPr>
          <w:rtl w:val="0"/>
        </w:rPr>
      </w:pPr>
      <w:r>
        <w:rPr>
          <w:rtl w:val="0"/>
        </w:rPr>
        <w:t>Overall, 25.7% of the population reported performing 15 hours or more of unpaid domestic work, compared with 20.6% for City of Parramatta.</w:t>
      </w:r>
    </w:p>
    <w:p>
      <w:pPr>
        <w:bidi w:val="0"/>
        <w:spacing w:after="280" w:afterAutospacing="1"/>
        <w:rPr>
          <w:rtl w:val="0"/>
        </w:rPr>
      </w:pPr>
      <w:r>
        <w:rPr>
          <w:rtl w:val="0"/>
        </w:rPr>
        <w:t>The major differences between the share of the population performing unpaid domestic work in North Rocks and City of Parramatta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of persons who did unpaid domestic work (total) (71.9% compared to 63.0%)</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persons who did between 15 and 29 hours of domestic work (15.3% compared to 11.9%)</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persons who did between 5 and 14 hours of domestic work (27.5% compared to 25.0%)</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of persons who did no unpaid domestic work (25.1% compared to 30.9%)</w:t>
      </w:r>
    </w:p>
    <w:p w:rsidR="001A6775">
      <w:pPr>
        <w:bidi w:val="0"/>
        <w:spacing w:after="280" w:afterAutospacing="1"/>
      </w:pPr>
      <w:r>
        <w:rPr>
          <w:rtl w:val="0"/>
        </w:rPr>
        <w:t>The largest changes in the number of people performing unpaid domestic work in North Rocks, between 2016 and 2021 were those who:</w:t>
      </w:r>
    </w:p>
    <w:p>
      <w:pPr>
        <w:numPr>
          <w:ilvl w:val="0"/>
          <w:numId w:val="2"/>
        </w:numPr>
        <w:bidi w:val="0"/>
        <w:spacing w:after="0" w:afterAutospacing="0"/>
        <w:rPr>
          <w:rtl w:val="0"/>
        </w:rPr>
      </w:pPr>
      <w:r>
        <w:rPr>
          <w:rtl w:val="0"/>
        </w:rPr>
        <w:t>Did no unpaid domestic work (+520 persons)</w:t>
      </w:r>
    </w:p>
    <w:p>
      <w:pPr>
        <w:numPr>
          <w:ilvl w:val="0"/>
          <w:numId w:val="2"/>
        </w:numPr>
        <w:bidi w:val="0"/>
        <w:spacing w:after="0" w:afterAutospacing="0"/>
        <w:ind w:left="720"/>
        <w:rPr>
          <w:rtl w:val="0"/>
        </w:rPr>
      </w:pPr>
      <w:r>
        <w:rPr>
          <w:rtl w:val="0"/>
        </w:rPr>
        <w:t>Did unpaid domestic work (+351 persons)</w:t>
      </w:r>
    </w:p>
    <w:p>
      <w:pPr>
        <w:numPr>
          <w:ilvl w:val="0"/>
          <w:numId w:val="2"/>
        </w:numPr>
        <w:bidi w:val="0"/>
        <w:spacing w:after="0" w:afterAutospacing="0"/>
        <w:ind w:left="720"/>
        <w:rPr>
          <w:rtl w:val="0"/>
        </w:rPr>
      </w:pPr>
      <w:r>
        <w:rPr>
          <w:rtl w:val="0"/>
        </w:rPr>
        <w:t>Did between 15 and 29 hours of domestic work (+239 persons)</w:t>
      </w:r>
    </w:p>
    <w:p>
      <w:pPr>
        <w:numPr>
          <w:ilvl w:val="0"/>
          <w:numId w:val="2"/>
        </w:numPr>
        <w:bidi w:val="0"/>
        <w:spacing w:after="280" w:afterAutospacing="1"/>
        <w:ind w:left="720"/>
        <w:rPr>
          <w:rtl w:val="0"/>
        </w:rPr>
      </w:pPr>
      <w:r>
        <w:rPr>
          <w:rtl w:val="0"/>
        </w:rPr>
        <w:t>Did between 5 and 14 hours of domestic work (+194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