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Onkaparinga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South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$278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$757 to $1,452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$668 to $1,203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$555 to $1,042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$489 to $885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$376 to $675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$295 to $552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$279 to $505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$1,453 to $2,494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$1,204 to $2,104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$1,043 to $1,869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$886 to $1,466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$676 to $1,157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$553 to $933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$506 to $848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$2,495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$2,105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$1,870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$1,467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$1,158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$934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$849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South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$268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$396 to $689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$333 to $554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$269 to $437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$690 to $1,101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$555 to $880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$438 to $690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$1,102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$881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$691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South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$1,023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$964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$936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$670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$1,024 to $1,499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$965 to $1,470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$937 to $1,478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$671 to $1,038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$489 to $701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$447 to $648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$1,500 to $2,073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$1,471 to $2,051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$1,479 to $2,094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$1,039 to $1,477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$702 to $966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$649 to $889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$2,074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$2,052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$2,095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$1,478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$967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$890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South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$144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$215 to $304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$187 to $272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$145 to $228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$106 to $157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$74 to $118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$305 to $381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$273 to $341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$229 to $302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$158 to $209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$119 to $160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$382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$210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$161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