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Shire of Mundaring</w:t>
      </w:r>
    </w:p>
    <w:p w:rsidR="001A6775">
      <w:pPr>
        <w:pStyle w:val="Heading4"/>
        <w:bidi w:val="0"/>
        <w:spacing w:after="280" w:afterAutospacing="1"/>
      </w:pPr>
      <w:r>
        <w:rPr>
          <w:rtl w:val="0"/>
        </w:rPr>
        <w:t>Housing loan repayments</w:t>
      </w:r>
    </w:p>
    <w:p w:rsidR="001A6775">
      <w:pPr>
        <w:bidi w:val="0"/>
        <w:spacing w:after="280" w:afterAutospacing="1"/>
      </w:pPr>
      <w:r>
        <w:rPr>
          <w:rtl w:val="0"/>
        </w:rPr>
        <w:t xml:space="preserve">Mortgage repayments are directly related to house prices in Greenmount, length of occupancy and the level of equity of home owners. When viewed with </w:t>
      </w:r>
      <w:r>
        <w:rPr>
          <w:rtl w:val="0"/>
        </w:rPr>
        <w:fldChar w:fldCharType="begin"/>
      </w:r>
      <w:r>
        <w:rPr>
          <w:rtl w:val="0"/>
        </w:rPr>
        <w:instrText xml:space="preserve"> HYPERLINK "household-income?[QS]" </w:instrText>
      </w:r>
      <w:r>
        <w:rPr>
          <w:rtl w:val="0"/>
        </w:rPr>
        <w:fldChar w:fldCharType="separate"/>
      </w:r>
      <w:r>
        <w:rPr>
          <w:color w:val="0000FF"/>
          <w:u w:val="single"/>
          <w:rtl w:val="0"/>
        </w:rPr>
        <w:t>Household Income</w:t>
      </w:r>
      <w:r>
        <w:rPr>
          <w:rtl w:val="0"/>
        </w:rPr>
        <w:fldChar w:fldCharType="end"/>
      </w:r>
      <w:r>
        <w:rPr>
          <w:rtl w:val="0"/>
        </w:rPr>
        <w:t xml:space="preserve"> data it may also indicate the level of housing stress households in the community are under. In mortgage belt areas it is expected that households will be paying a higher proportion of their income on their housing compared to well-established areas. First home buyer areas are also likely to have larger mortgages than upgrader areas where households move in with equity from elsewhere.</w:t>
      </w:r>
    </w:p>
    <w:p>
      <w:pPr>
        <w:bidi w:val="0"/>
        <w:spacing w:after="280" w:afterAutospacing="1"/>
      </w:pPr>
      <w:r>
        <w:rPr>
          <w:rtl w:val="0"/>
        </w:rPr>
        <w:t xml:space="preserve">Mortgage payment levels are not directly comparable over time because of inflation. For comparison of mortgage payments over time, go to </w:t>
      </w:r>
      <w:r>
        <w:rPr>
          <w:rtl w:val="0"/>
        </w:rPr>
        <w:fldChar w:fldCharType="begin"/>
      </w:r>
      <w:r>
        <w:rPr>
          <w:rtl w:val="0"/>
        </w:rPr>
        <w:instrText xml:space="preserve"> HYPERLINK "housing-loan-quartiles?[QS]" </w:instrText>
      </w:r>
      <w:r>
        <w:rPr>
          <w:rtl w:val="0"/>
        </w:rPr>
        <w:fldChar w:fldCharType="separate"/>
      </w:r>
      <w:r>
        <w:rPr>
          <w:color w:val="0000FF"/>
          <w:u w:val="single"/>
          <w:rtl w:val="0"/>
        </w:rPr>
        <w:t>Housing Loan Quartiles</w:t>
      </w:r>
      <w:r>
        <w:rPr>
          <w:rtl w:val="0"/>
        </w:rPr>
        <w:fldChar w:fldCharType="end"/>
      </w:r>
      <w:r>
        <w:rPr>
          <w:rtl w:val="0"/>
        </w:rPr>
        <w:t>.</w:t>
      </w:r>
    </w:p>
    <w:p>
      <w:pPr>
        <w:bidi w:val="0"/>
        <w:spacing w:after="280" w:afterAutospacing="1"/>
      </w:pPr>
      <w:r>
        <w:rPr>
          <w:rtl w:val="0"/>
        </w:rPr>
        <w:t>Please note, interest rates at the 2021 Census were at a record low in Australia. The first interest rate rises by the Reserve Bank began an upward cycle from May 2022. Please use mortgage payment data with caution as data from the 2021 Census pre-dates all official rate rises in the current cycle.</w:t>
      </w:r>
    </w:p>
    <w:p>
      <w:pPr>
        <w:bidi w:val="0"/>
        <w:spacing w:after="280" w:afterAutospacing="1"/>
      </w:pPr>
      <w:r>
        <w:t xml:space="preserve">Further reading: </w:t>
      </w:r>
      <w:r>
        <w:fldChar w:fldCharType="begin"/>
      </w:r>
      <w:r>
        <w:instrText xml:space="preserve"> HYPERLINK "https://content.id.com.au/ebook-2021-how-councils-can-influence-affordable-housing" \t "blank" </w:instrText>
      </w:r>
      <w:r>
        <w:fldChar w:fldCharType="separate"/>
      </w:r>
      <w:r>
        <w:rPr>
          <w:color w:val="0000FF"/>
          <w:u w:val="single"/>
          <w:rtl w:val="0"/>
        </w:rPr>
        <w:t>How can Councils influence affordable housing.</w:t>
      </w:r>
      <w:r>
        <w:fldChar w:fldCharType="end"/>
      </w:r>
    </w:p>
    <w:tbl>
      <w:tblPr>
        <w:tblW w:w="5000" w:type="pct"/>
        <w:jc w:val="left"/>
        <w:tblBorders>
          <w:top w:val="nil"/>
          <w:left w:val="nil"/>
          <w:bottom w:val="nil"/>
          <w:right w:val="nil"/>
          <w:insideH w:val="nil"/>
          <w:insideV w:val="nil"/>
        </w:tblBorders>
        <w:tblCellMar>
          <w:left w:w="108" w:type="dxa"/>
          <w:right w:w="108" w:type="dxa"/>
        </w:tblCellMar>
      </w:tblPr>
      <w:tblGrid>
        <w:gridCol w:w="2000"/>
        <w:gridCol w:w="2000"/>
        <w:gridCol w:w="2000"/>
        <w:gridCol w:w="2000"/>
        <w:gridCol w:w="2000"/>
        <w:gridCol w:w="2000"/>
        <w:gridCol w:w="2000"/>
        <w:gridCol w:w="20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Monthly housing loan repayments</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Greenmount - Households (Enumerated)</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Monthly repayment amount</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Shire of Mundaring %</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$299 or less</w:t>
            </w:r>
          </w:p>
        </w:tc>
        <w:tc>
          <w:tcPr>
            <w:vAlign w:val="center"/>
          </w:tcPr>
          <w:p w:rsidR="001A6775">
            <w:pPr>
              <w:bidi w:val="0"/>
              <w:spacing w:after="0" w:afterAutospacing="1"/>
              <w:jc w:val="right"/>
              <w:rPr>
                <w:b w:val="0"/>
                <w:sz w:val="20"/>
              </w:rPr>
            </w:pPr>
            <w:r>
              <w:rPr>
                <w:b w:val="0"/>
                <w:sz w:val="20"/>
              </w:rPr>
              <w:t>21</w:t>
            </w:r>
          </w:p>
        </w:tc>
        <w:tc>
          <w:tcPr>
            <w:vAlign w:val="center"/>
          </w:tcPr>
          <w:p w:rsidR="001A6775">
            <w:pPr>
              <w:bidi w:val="0"/>
              <w:spacing w:after="0" w:afterAutospacing="1"/>
              <w:jc w:val="right"/>
              <w:rPr>
                <w:b w:val="0"/>
                <w:sz w:val="20"/>
              </w:rPr>
            </w:pPr>
            <w:r>
              <w:rPr>
                <w:b w:val="0"/>
                <w:sz w:val="20"/>
              </w:rPr>
              <w:t>4.7</w:t>
            </w:r>
          </w:p>
        </w:tc>
        <w:tc>
          <w:tcPr>
            <w:vAlign w:val="center"/>
          </w:tcPr>
          <w:p w:rsidR="001A6775">
            <w:pPr>
              <w:bidi w:val="0"/>
              <w:spacing w:after="0" w:afterAutospacing="1"/>
              <w:jc w:val="right"/>
              <w:rPr>
                <w:b w:val="0"/>
                <w:sz w:val="20"/>
              </w:rPr>
            </w:pPr>
            <w:r>
              <w:rPr>
                <w:b w:val="0"/>
                <w:sz w:val="20"/>
              </w:rPr>
              <w:t>4.5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$300 - $599</w:t>
            </w:r>
          </w:p>
        </w:tc>
        <w:tc>
          <w:tcPr>
            <w:vAlign w:val="center"/>
          </w:tcPr>
          <w:p w:rsidR="001A6775">
            <w:pPr>
              <w:bidi w:val="0"/>
              <w:spacing w:after="0" w:afterAutospacing="1"/>
              <w:jc w:val="right"/>
              <w:rPr>
                <w:b w:val="0"/>
                <w:sz w:val="20"/>
              </w:rPr>
            </w:pPr>
            <w:r>
              <w:rPr>
                <w:b w:val="0"/>
                <w:sz w:val="20"/>
              </w:rPr>
              <w:t>11</w:t>
            </w:r>
          </w:p>
        </w:tc>
        <w:tc>
          <w:tcPr>
            <w:vAlign w:val="center"/>
          </w:tcPr>
          <w:p w:rsidR="001A6775">
            <w:pPr>
              <w:bidi w:val="0"/>
              <w:spacing w:after="0" w:afterAutospacing="1"/>
              <w:jc w:val="right"/>
              <w:rPr>
                <w:b w:val="0"/>
                <w:sz w:val="20"/>
              </w:rPr>
            </w:pPr>
            <w:r>
              <w:rPr>
                <w:b w:val="0"/>
                <w:sz w:val="20"/>
              </w:rPr>
              <w:t>2.5</w:t>
            </w:r>
          </w:p>
        </w:tc>
        <w:tc>
          <w:tcPr>
            <w:vAlign w:val="center"/>
          </w:tcPr>
          <w:p w:rsidR="001A6775">
            <w:pPr>
              <w:bidi w:val="0"/>
              <w:spacing w:after="0" w:afterAutospacing="1"/>
              <w:jc w:val="right"/>
              <w:rPr>
                <w:b w:val="0"/>
                <w:sz w:val="20"/>
              </w:rPr>
            </w:pPr>
            <w:r>
              <w:rPr>
                <w:b w:val="0"/>
                <w:sz w:val="20"/>
              </w:rPr>
              <w:t>3.1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$600 - $999</w:t>
            </w:r>
          </w:p>
        </w:tc>
        <w:tc>
          <w:tcPr>
            <w:vAlign w:val="center"/>
          </w:tcPr>
          <w:p w:rsidR="001A6775">
            <w:pPr>
              <w:bidi w:val="0"/>
              <w:spacing w:after="0" w:afterAutospacing="1"/>
              <w:jc w:val="right"/>
              <w:rPr>
                <w:b w:val="0"/>
                <w:sz w:val="20"/>
              </w:rPr>
            </w:pPr>
            <w:r>
              <w:rPr>
                <w:b w:val="0"/>
                <w:sz w:val="20"/>
              </w:rPr>
              <w:t>37</w:t>
            </w:r>
          </w:p>
        </w:tc>
        <w:tc>
          <w:tcPr>
            <w:vAlign w:val="center"/>
          </w:tcPr>
          <w:p w:rsidR="001A6775">
            <w:pPr>
              <w:bidi w:val="0"/>
              <w:spacing w:after="0" w:afterAutospacing="1"/>
              <w:jc w:val="right"/>
              <w:rPr>
                <w:b w:val="0"/>
                <w:sz w:val="20"/>
              </w:rPr>
            </w:pPr>
            <w:r>
              <w:rPr>
                <w:b w:val="0"/>
                <w:sz w:val="20"/>
              </w:rPr>
              <w:t>8.4</w:t>
            </w:r>
          </w:p>
        </w:tc>
        <w:tc>
          <w:tcPr>
            <w:vAlign w:val="center"/>
          </w:tcPr>
          <w:p w:rsidR="001A6775">
            <w:pPr>
              <w:bidi w:val="0"/>
              <w:spacing w:after="0" w:afterAutospacing="1"/>
              <w:jc w:val="right"/>
              <w:rPr>
                <w:b w:val="0"/>
                <w:sz w:val="20"/>
              </w:rPr>
            </w:pPr>
            <w:r>
              <w:rPr>
                <w:b w:val="0"/>
                <w:sz w:val="20"/>
              </w:rPr>
              <w:t>6.6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$1,000 - $1,199</w:t>
            </w:r>
          </w:p>
        </w:tc>
        <w:tc>
          <w:tcPr>
            <w:vAlign w:val="center"/>
          </w:tcPr>
          <w:p w:rsidR="001A6775">
            <w:pPr>
              <w:bidi w:val="0"/>
              <w:spacing w:after="0" w:afterAutospacing="1"/>
              <w:jc w:val="right"/>
              <w:rPr>
                <w:b w:val="0"/>
                <w:sz w:val="20"/>
              </w:rPr>
            </w:pPr>
            <w:r>
              <w:rPr>
                <w:b w:val="0"/>
                <w:sz w:val="20"/>
              </w:rPr>
              <w:t>25</w:t>
            </w:r>
          </w:p>
        </w:tc>
        <w:tc>
          <w:tcPr>
            <w:vAlign w:val="center"/>
          </w:tcPr>
          <w:p w:rsidR="001A6775">
            <w:pPr>
              <w:bidi w:val="0"/>
              <w:spacing w:after="0" w:afterAutospacing="1"/>
              <w:jc w:val="right"/>
              <w:rPr>
                <w:b w:val="0"/>
                <w:sz w:val="20"/>
              </w:rPr>
            </w:pPr>
            <w:r>
              <w:rPr>
                <w:b w:val="0"/>
                <w:sz w:val="20"/>
              </w:rPr>
              <w:t>5.6</w:t>
            </w:r>
          </w:p>
        </w:tc>
        <w:tc>
          <w:tcPr>
            <w:vAlign w:val="center"/>
          </w:tcPr>
          <w:p w:rsidR="001A6775">
            <w:pPr>
              <w:bidi w:val="0"/>
              <w:spacing w:after="0" w:afterAutospacing="1"/>
              <w:jc w:val="right"/>
              <w:rPr>
                <w:b w:val="0"/>
                <w:sz w:val="20"/>
              </w:rPr>
            </w:pPr>
            <w:r>
              <w:rPr>
                <w:b w:val="0"/>
                <w:sz w:val="20"/>
              </w:rPr>
              <w:t>4.4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$1,200 - $1,399</w:t>
            </w:r>
          </w:p>
        </w:tc>
        <w:tc>
          <w:tcPr>
            <w:vAlign w:val="center"/>
          </w:tcPr>
          <w:p w:rsidR="001A6775">
            <w:pPr>
              <w:bidi w:val="0"/>
              <w:spacing w:after="0" w:afterAutospacing="1"/>
              <w:jc w:val="right"/>
              <w:rPr>
                <w:b w:val="0"/>
                <w:sz w:val="20"/>
              </w:rPr>
            </w:pPr>
            <w:r>
              <w:rPr>
                <w:b w:val="0"/>
                <w:sz w:val="20"/>
              </w:rPr>
              <w:t>17</w:t>
            </w:r>
          </w:p>
        </w:tc>
        <w:tc>
          <w:tcPr>
            <w:vAlign w:val="center"/>
          </w:tcPr>
          <w:p w:rsidR="001A6775">
            <w:pPr>
              <w:bidi w:val="0"/>
              <w:spacing w:after="0" w:afterAutospacing="1"/>
              <w:jc w:val="right"/>
              <w:rPr>
                <w:b w:val="0"/>
                <w:sz w:val="20"/>
              </w:rPr>
            </w:pPr>
            <w:r>
              <w:rPr>
                <w:b w:val="0"/>
                <w:sz w:val="20"/>
              </w:rPr>
              <w:t>3.8</w:t>
            </w:r>
          </w:p>
        </w:tc>
        <w:tc>
          <w:tcPr>
            <w:vAlign w:val="center"/>
          </w:tcPr>
          <w:p w:rsidR="001A6775">
            <w:pPr>
              <w:bidi w:val="0"/>
              <w:spacing w:after="0" w:afterAutospacing="1"/>
              <w:jc w:val="right"/>
              <w:rPr>
                <w:b w:val="0"/>
                <w:sz w:val="20"/>
              </w:rPr>
            </w:pPr>
            <w:r>
              <w:rPr>
                <w:b w:val="0"/>
                <w:sz w:val="20"/>
              </w:rPr>
              <w:t>6.0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$1,400 - $1,599</w:t>
            </w:r>
          </w:p>
        </w:tc>
        <w:tc>
          <w:tcPr>
            <w:vAlign w:val="center"/>
          </w:tcPr>
          <w:p w:rsidR="001A6775">
            <w:pPr>
              <w:bidi w:val="0"/>
              <w:spacing w:after="0" w:afterAutospacing="1"/>
              <w:jc w:val="right"/>
              <w:rPr>
                <w:b w:val="0"/>
                <w:sz w:val="20"/>
              </w:rPr>
            </w:pPr>
            <w:r>
              <w:rPr>
                <w:b w:val="0"/>
                <w:sz w:val="20"/>
              </w:rPr>
              <w:t>45</w:t>
            </w:r>
          </w:p>
        </w:tc>
        <w:tc>
          <w:tcPr>
            <w:vAlign w:val="center"/>
          </w:tcPr>
          <w:p w:rsidR="001A6775">
            <w:pPr>
              <w:bidi w:val="0"/>
              <w:spacing w:after="0" w:afterAutospacing="1"/>
              <w:jc w:val="right"/>
              <w:rPr>
                <w:b w:val="0"/>
                <w:sz w:val="20"/>
              </w:rPr>
            </w:pPr>
            <w:r>
              <w:rPr>
                <w:b w:val="0"/>
                <w:sz w:val="20"/>
              </w:rPr>
              <w:t>10.2</w:t>
            </w:r>
          </w:p>
        </w:tc>
        <w:tc>
          <w:tcPr>
            <w:vAlign w:val="center"/>
          </w:tcPr>
          <w:p w:rsidR="001A6775">
            <w:pPr>
              <w:bidi w:val="0"/>
              <w:spacing w:after="0" w:afterAutospacing="1"/>
              <w:jc w:val="right"/>
              <w:rPr>
                <w:b w:val="0"/>
                <w:sz w:val="20"/>
              </w:rPr>
            </w:pPr>
            <w:r>
              <w:rPr>
                <w:b w:val="0"/>
                <w:sz w:val="20"/>
              </w:rPr>
              <w:t>7.2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$1,600-$1,799</w:t>
            </w:r>
          </w:p>
        </w:tc>
        <w:tc>
          <w:tcPr>
            <w:vAlign w:val="center"/>
          </w:tcPr>
          <w:p w:rsidR="001A6775">
            <w:pPr>
              <w:bidi w:val="0"/>
              <w:spacing w:after="0" w:afterAutospacing="1"/>
              <w:jc w:val="right"/>
              <w:rPr>
                <w:b w:val="0"/>
                <w:sz w:val="20"/>
              </w:rPr>
            </w:pPr>
            <w:r>
              <w:rPr>
                <w:b w:val="0"/>
                <w:sz w:val="20"/>
              </w:rPr>
              <w:t>54</w:t>
            </w:r>
          </w:p>
        </w:tc>
        <w:tc>
          <w:tcPr>
            <w:vAlign w:val="center"/>
          </w:tcPr>
          <w:p w:rsidR="001A6775">
            <w:pPr>
              <w:bidi w:val="0"/>
              <w:spacing w:after="0" w:afterAutospacing="1"/>
              <w:jc w:val="right"/>
              <w:rPr>
                <w:b w:val="0"/>
                <w:sz w:val="20"/>
              </w:rPr>
            </w:pPr>
            <w:r>
              <w:rPr>
                <w:b w:val="0"/>
                <w:sz w:val="20"/>
              </w:rPr>
              <w:t>12.2</w:t>
            </w:r>
          </w:p>
        </w:tc>
        <w:tc>
          <w:tcPr>
            <w:vAlign w:val="center"/>
          </w:tcPr>
          <w:p w:rsidR="001A6775">
            <w:pPr>
              <w:bidi w:val="0"/>
              <w:spacing w:after="0" w:afterAutospacing="1"/>
              <w:jc w:val="right"/>
              <w:rPr>
                <w:b w:val="0"/>
                <w:sz w:val="20"/>
              </w:rPr>
            </w:pPr>
            <w:r>
              <w:rPr>
                <w:b w:val="0"/>
                <w:sz w:val="20"/>
              </w:rPr>
              <w:t>9.2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$1,800 - $1,999</w:t>
            </w:r>
          </w:p>
        </w:tc>
        <w:tc>
          <w:tcPr>
            <w:vAlign w:val="center"/>
          </w:tcPr>
          <w:p w:rsidR="001A6775">
            <w:pPr>
              <w:bidi w:val="0"/>
              <w:spacing w:after="0" w:afterAutospacing="1"/>
              <w:jc w:val="right"/>
              <w:rPr>
                <w:b w:val="0"/>
                <w:sz w:val="20"/>
              </w:rPr>
            </w:pPr>
            <w:r>
              <w:rPr>
                <w:b w:val="0"/>
                <w:sz w:val="20"/>
              </w:rPr>
              <w:t>47</w:t>
            </w:r>
          </w:p>
        </w:tc>
        <w:tc>
          <w:tcPr>
            <w:vAlign w:val="center"/>
          </w:tcPr>
          <w:p w:rsidR="001A6775">
            <w:pPr>
              <w:bidi w:val="0"/>
              <w:spacing w:after="0" w:afterAutospacing="1"/>
              <w:jc w:val="right"/>
              <w:rPr>
                <w:b w:val="0"/>
                <w:sz w:val="20"/>
              </w:rPr>
            </w:pPr>
            <w:r>
              <w:rPr>
                <w:b w:val="0"/>
                <w:sz w:val="20"/>
              </w:rPr>
              <w:t>10.6</w:t>
            </w:r>
          </w:p>
        </w:tc>
        <w:tc>
          <w:tcPr>
            <w:vAlign w:val="center"/>
          </w:tcPr>
          <w:p w:rsidR="001A6775">
            <w:pPr>
              <w:bidi w:val="0"/>
              <w:spacing w:after="0" w:afterAutospacing="1"/>
              <w:jc w:val="right"/>
              <w:rPr>
                <w:b w:val="0"/>
                <w:sz w:val="20"/>
              </w:rPr>
            </w:pPr>
            <w:r>
              <w:rPr>
                <w:b w:val="0"/>
                <w:sz w:val="20"/>
              </w:rPr>
              <w:t>7.1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$2,000 - $2,199</w:t>
            </w:r>
          </w:p>
        </w:tc>
        <w:tc>
          <w:tcPr>
            <w:vAlign w:val="center"/>
          </w:tcPr>
          <w:p w:rsidR="001A6775">
            <w:pPr>
              <w:bidi w:val="0"/>
              <w:spacing w:after="0" w:afterAutospacing="1"/>
              <w:jc w:val="right"/>
              <w:rPr>
                <w:b w:val="0"/>
                <w:sz w:val="20"/>
              </w:rPr>
            </w:pPr>
            <w:r>
              <w:rPr>
                <w:b w:val="0"/>
                <w:sz w:val="20"/>
              </w:rPr>
              <w:t>54</w:t>
            </w:r>
          </w:p>
        </w:tc>
        <w:tc>
          <w:tcPr>
            <w:vAlign w:val="center"/>
          </w:tcPr>
          <w:p w:rsidR="001A6775">
            <w:pPr>
              <w:bidi w:val="0"/>
              <w:spacing w:after="0" w:afterAutospacing="1"/>
              <w:jc w:val="right"/>
              <w:rPr>
                <w:b w:val="0"/>
                <w:sz w:val="20"/>
              </w:rPr>
            </w:pPr>
            <w:r>
              <w:rPr>
                <w:b w:val="0"/>
                <w:sz w:val="20"/>
              </w:rPr>
              <w:t>12.2</w:t>
            </w:r>
          </w:p>
        </w:tc>
        <w:tc>
          <w:tcPr>
            <w:vAlign w:val="center"/>
          </w:tcPr>
          <w:p w:rsidR="001A6775">
            <w:pPr>
              <w:bidi w:val="0"/>
              <w:spacing w:after="0" w:afterAutospacing="1"/>
              <w:jc w:val="right"/>
              <w:rPr>
                <w:b w:val="0"/>
                <w:sz w:val="20"/>
              </w:rPr>
            </w:pPr>
            <w:r>
              <w:rPr>
                <w:b w:val="0"/>
                <w:sz w:val="20"/>
              </w:rPr>
              <w:t>12.5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$2,200 - $2,399</w:t>
            </w:r>
          </w:p>
        </w:tc>
        <w:tc>
          <w:tcPr>
            <w:vAlign w:val="center"/>
          </w:tcPr>
          <w:p w:rsidR="001A6775">
            <w:pPr>
              <w:bidi w:val="0"/>
              <w:spacing w:after="0" w:afterAutospacing="1"/>
              <w:jc w:val="right"/>
              <w:rPr>
                <w:b w:val="0"/>
                <w:sz w:val="20"/>
              </w:rPr>
            </w:pPr>
            <w:r>
              <w:rPr>
                <w:b w:val="0"/>
                <w:sz w:val="20"/>
              </w:rPr>
              <w:t>32</w:t>
            </w:r>
          </w:p>
        </w:tc>
        <w:tc>
          <w:tcPr>
            <w:vAlign w:val="center"/>
          </w:tcPr>
          <w:p w:rsidR="001A6775">
            <w:pPr>
              <w:bidi w:val="0"/>
              <w:spacing w:after="0" w:afterAutospacing="1"/>
              <w:jc w:val="right"/>
              <w:rPr>
                <w:b w:val="0"/>
                <w:sz w:val="20"/>
              </w:rPr>
            </w:pPr>
            <w:r>
              <w:rPr>
                <w:b w:val="0"/>
                <w:sz w:val="20"/>
              </w:rPr>
              <w:t>7.2</w:t>
            </w:r>
          </w:p>
        </w:tc>
        <w:tc>
          <w:tcPr>
            <w:vAlign w:val="center"/>
          </w:tcPr>
          <w:p w:rsidR="001A6775">
            <w:pPr>
              <w:bidi w:val="0"/>
              <w:spacing w:after="0" w:afterAutospacing="1"/>
              <w:jc w:val="right"/>
              <w:rPr>
                <w:b w:val="0"/>
                <w:sz w:val="20"/>
              </w:rPr>
            </w:pPr>
            <w:r>
              <w:rPr>
                <w:b w:val="0"/>
                <w:sz w:val="20"/>
              </w:rPr>
              <w:t>5.6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$2,400-$2,599</w:t>
            </w:r>
          </w:p>
        </w:tc>
        <w:tc>
          <w:tcPr>
            <w:vAlign w:val="center"/>
          </w:tcPr>
          <w:p w:rsidR="001A6775">
            <w:pPr>
              <w:bidi w:val="0"/>
              <w:spacing w:after="0" w:afterAutospacing="1"/>
              <w:jc w:val="right"/>
              <w:rPr>
                <w:b w:val="0"/>
                <w:sz w:val="20"/>
              </w:rPr>
            </w:pPr>
            <w:r>
              <w:rPr>
                <w:b w:val="0"/>
                <w:sz w:val="20"/>
              </w:rPr>
              <w:t>14</w:t>
            </w:r>
          </w:p>
        </w:tc>
        <w:tc>
          <w:tcPr>
            <w:vAlign w:val="center"/>
          </w:tcPr>
          <w:p w:rsidR="001A6775">
            <w:pPr>
              <w:bidi w:val="0"/>
              <w:spacing w:after="0" w:afterAutospacing="1"/>
              <w:jc w:val="right"/>
              <w:rPr>
                <w:b w:val="0"/>
                <w:sz w:val="20"/>
              </w:rPr>
            </w:pPr>
            <w:r>
              <w:rPr>
                <w:b w:val="0"/>
                <w:sz w:val="20"/>
              </w:rPr>
              <w:t>3.2</w:t>
            </w:r>
          </w:p>
        </w:tc>
        <w:tc>
          <w:tcPr>
            <w:vAlign w:val="center"/>
          </w:tcPr>
          <w:p w:rsidR="001A6775">
            <w:pPr>
              <w:bidi w:val="0"/>
              <w:spacing w:after="0" w:afterAutospacing="1"/>
              <w:jc w:val="right"/>
              <w:rPr>
                <w:b w:val="0"/>
                <w:sz w:val="20"/>
              </w:rPr>
            </w:pPr>
            <w:r>
              <w:rPr>
                <w:b w:val="0"/>
                <w:sz w:val="20"/>
              </w:rPr>
              <w:t>3.9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$2,600-$2,999</w:t>
            </w:r>
          </w:p>
        </w:tc>
        <w:tc>
          <w:tcPr>
            <w:vAlign w:val="center"/>
          </w:tcPr>
          <w:p w:rsidR="001A6775">
            <w:pPr>
              <w:bidi w:val="0"/>
              <w:spacing w:after="0" w:afterAutospacing="1"/>
              <w:jc w:val="right"/>
              <w:rPr>
                <w:b w:val="0"/>
                <w:sz w:val="20"/>
              </w:rPr>
            </w:pPr>
            <w:r>
              <w:rPr>
                <w:b w:val="0"/>
                <w:sz w:val="20"/>
              </w:rPr>
              <w:t>22</w:t>
            </w:r>
          </w:p>
        </w:tc>
        <w:tc>
          <w:tcPr>
            <w:vAlign w:val="center"/>
          </w:tcPr>
          <w:p w:rsidR="001A6775">
            <w:pPr>
              <w:bidi w:val="0"/>
              <w:spacing w:after="0" w:afterAutospacing="1"/>
              <w:jc w:val="right"/>
              <w:rPr>
                <w:b w:val="0"/>
                <w:sz w:val="20"/>
              </w:rPr>
            </w:pPr>
            <w:r>
              <w:rPr>
                <w:b w:val="0"/>
                <w:sz w:val="20"/>
              </w:rPr>
              <w:t>5.0</w:t>
            </w:r>
          </w:p>
        </w:tc>
        <w:tc>
          <w:tcPr>
            <w:vAlign w:val="center"/>
          </w:tcPr>
          <w:p w:rsidR="001A6775">
            <w:pPr>
              <w:bidi w:val="0"/>
              <w:spacing w:after="0" w:afterAutospacing="1"/>
              <w:jc w:val="right"/>
              <w:rPr>
                <w:b w:val="0"/>
                <w:sz w:val="20"/>
              </w:rPr>
            </w:pPr>
            <w:r>
              <w:rPr>
                <w:b w:val="0"/>
                <w:sz w:val="20"/>
              </w:rPr>
              <w:t>8.1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$3,000-$3,999</w:t>
            </w:r>
          </w:p>
        </w:tc>
        <w:tc>
          <w:tcPr>
            <w:vAlign w:val="center"/>
          </w:tcPr>
          <w:p w:rsidR="001A6775">
            <w:pPr>
              <w:bidi w:val="0"/>
              <w:spacing w:after="0" w:afterAutospacing="1"/>
              <w:jc w:val="right"/>
              <w:rPr>
                <w:b w:val="0"/>
                <w:sz w:val="20"/>
              </w:rPr>
            </w:pPr>
            <w:r>
              <w:rPr>
                <w:b w:val="0"/>
                <w:sz w:val="20"/>
              </w:rPr>
              <w:t>31</w:t>
            </w:r>
          </w:p>
        </w:tc>
        <w:tc>
          <w:tcPr>
            <w:vAlign w:val="center"/>
          </w:tcPr>
          <w:p w:rsidR="001A6775">
            <w:pPr>
              <w:bidi w:val="0"/>
              <w:spacing w:after="0" w:afterAutospacing="1"/>
              <w:jc w:val="right"/>
              <w:rPr>
                <w:b w:val="0"/>
                <w:sz w:val="20"/>
              </w:rPr>
            </w:pPr>
            <w:r>
              <w:rPr>
                <w:b w:val="0"/>
                <w:sz w:val="20"/>
              </w:rPr>
              <w:t>7.0</w:t>
            </w:r>
          </w:p>
        </w:tc>
        <w:tc>
          <w:tcPr>
            <w:vAlign w:val="center"/>
          </w:tcPr>
          <w:p w:rsidR="001A6775">
            <w:pPr>
              <w:bidi w:val="0"/>
              <w:spacing w:after="0" w:afterAutospacing="1"/>
              <w:jc w:val="right"/>
              <w:rPr>
                <w:b w:val="0"/>
                <w:sz w:val="20"/>
              </w:rPr>
            </w:pPr>
            <w:r>
              <w:rPr>
                <w:b w:val="0"/>
                <w:sz w:val="20"/>
              </w:rPr>
              <w:t>9.7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$4,000-$4,999</w:t>
            </w:r>
          </w:p>
        </w:tc>
        <w:tc>
          <w:tcPr>
            <w:vAlign w:val="center"/>
          </w:tcPr>
          <w:p w:rsidR="001A6775">
            <w:pPr>
              <w:bidi w:val="0"/>
              <w:spacing w:after="0" w:afterAutospacing="1"/>
              <w:jc w:val="right"/>
              <w:rPr>
                <w:b w:val="0"/>
                <w:sz w:val="20"/>
              </w:rPr>
            </w:pPr>
            <w:r>
              <w:rPr>
                <w:b w:val="0"/>
                <w:sz w:val="20"/>
              </w:rPr>
              <w:t>6</w:t>
            </w:r>
          </w:p>
        </w:tc>
        <w:tc>
          <w:tcPr>
            <w:vAlign w:val="center"/>
          </w:tcPr>
          <w:p w:rsidR="001A6775">
            <w:pPr>
              <w:bidi w:val="0"/>
              <w:spacing w:after="0" w:afterAutospacing="1"/>
              <w:jc w:val="right"/>
              <w:rPr>
                <w:b w:val="0"/>
                <w:sz w:val="20"/>
              </w:rPr>
            </w:pPr>
            <w:r>
              <w:rPr>
                <w:b w:val="0"/>
                <w:sz w:val="20"/>
              </w:rPr>
              <w:t>1.4</w:t>
            </w:r>
          </w:p>
        </w:tc>
        <w:tc>
          <w:tcPr>
            <w:vAlign w:val="center"/>
          </w:tcPr>
          <w:p w:rsidR="001A6775">
            <w:pPr>
              <w:bidi w:val="0"/>
              <w:spacing w:after="0" w:afterAutospacing="1"/>
              <w:jc w:val="right"/>
              <w:rPr>
                <w:b w:val="0"/>
                <w:sz w:val="20"/>
              </w:rPr>
            </w:pPr>
            <w:r>
              <w:rPr>
                <w:b w:val="0"/>
                <w:sz w:val="20"/>
              </w:rPr>
              <w:t>3.7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$5000 and over</w:t>
            </w:r>
          </w:p>
        </w:tc>
        <w:tc>
          <w:tcPr>
            <w:vAlign w:val="center"/>
          </w:tcPr>
          <w:p w:rsidR="001A6775">
            <w:pPr>
              <w:bidi w:val="0"/>
              <w:spacing w:after="0" w:afterAutospacing="1"/>
              <w:jc w:val="right"/>
              <w:rPr>
                <w:b w:val="0"/>
                <w:sz w:val="20"/>
              </w:rPr>
            </w:pPr>
            <w:r>
              <w:rPr>
                <w:b w:val="0"/>
                <w:sz w:val="20"/>
              </w:rPr>
              <w:t>6</w:t>
            </w:r>
          </w:p>
        </w:tc>
        <w:tc>
          <w:tcPr>
            <w:vAlign w:val="center"/>
          </w:tcPr>
          <w:p w:rsidR="001A6775">
            <w:pPr>
              <w:bidi w:val="0"/>
              <w:spacing w:after="0" w:afterAutospacing="1"/>
              <w:jc w:val="right"/>
              <w:rPr>
                <w:b w:val="0"/>
                <w:sz w:val="20"/>
              </w:rPr>
            </w:pPr>
            <w:r>
              <w:rPr>
                <w:b w:val="0"/>
                <w:sz w:val="20"/>
              </w:rPr>
              <w:t>1.4</w:t>
            </w:r>
          </w:p>
        </w:tc>
        <w:tc>
          <w:tcPr>
            <w:vAlign w:val="center"/>
          </w:tcPr>
          <w:p w:rsidR="001A6775">
            <w:pPr>
              <w:bidi w:val="0"/>
              <w:spacing w:after="0" w:afterAutospacing="1"/>
              <w:jc w:val="right"/>
              <w:rPr>
                <w:b w:val="0"/>
                <w:sz w:val="20"/>
              </w:rPr>
            </w:pPr>
            <w:r>
              <w:rPr>
                <w:b w:val="0"/>
                <w:sz w:val="20"/>
              </w:rPr>
              <w:t>2.3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Not stated</w:t>
            </w:r>
          </w:p>
        </w:tc>
        <w:tc>
          <w:tcPr>
            <w:vAlign w:val="center"/>
          </w:tcPr>
          <w:p w:rsidR="001A6775">
            <w:pPr>
              <w:bidi w:val="0"/>
              <w:spacing w:after="0" w:afterAutospacing="1"/>
              <w:jc w:val="right"/>
              <w:rPr>
                <w:b w:val="0"/>
                <w:sz w:val="20"/>
              </w:rPr>
            </w:pPr>
            <w:r>
              <w:rPr>
                <w:b w:val="0"/>
                <w:sz w:val="20"/>
              </w:rPr>
              <w:t>21</w:t>
            </w:r>
          </w:p>
        </w:tc>
        <w:tc>
          <w:tcPr>
            <w:vAlign w:val="center"/>
          </w:tcPr>
          <w:p w:rsidR="001A6775">
            <w:pPr>
              <w:bidi w:val="0"/>
              <w:spacing w:after="0" w:afterAutospacing="1"/>
              <w:jc w:val="right"/>
              <w:rPr>
                <w:b w:val="0"/>
                <w:sz w:val="20"/>
              </w:rPr>
            </w:pPr>
            <w:r>
              <w:rPr>
                <w:b w:val="0"/>
                <w:sz w:val="20"/>
              </w:rPr>
              <w:t>4.7</w:t>
            </w:r>
          </w:p>
        </w:tc>
        <w:tc>
          <w:tcPr>
            <w:vAlign w:val="center"/>
          </w:tcPr>
          <w:p w:rsidR="001A6775">
            <w:pPr>
              <w:bidi w:val="0"/>
              <w:spacing w:after="0" w:afterAutospacing="1"/>
              <w:jc w:val="right"/>
              <w:rPr>
                <w:b w:val="0"/>
                <w:sz w:val="20"/>
              </w:rPr>
            </w:pPr>
            <w:r>
              <w:rPr>
                <w:b w:val="0"/>
                <w:sz w:val="20"/>
              </w:rPr>
              <w:t>5.8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w:t>
            </w:r>
          </w:p>
        </w:tc>
        <w:tc>
          <w:tcPr>
            <w:vAlign w:val="center"/>
          </w:tcPr>
          <w:p w:rsidR="001A6775">
            <w:pPr>
              <w:bidi w:val="0"/>
              <w:spacing w:after="0" w:afterAutospacing="1"/>
              <w:jc w:val="right"/>
              <w:rPr>
                <w:b/>
                <w:sz w:val="20"/>
              </w:rPr>
            </w:pPr>
            <w:r>
              <w:rPr>
                <w:b/>
                <w:sz w:val="20"/>
              </w:rPr>
              <w:t>443</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r>
    </w:tbl>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pPr>
              <w:bidi w:val="0"/>
              <w:spacing w:after="0" w:afterAutospacing="1"/>
              <w:jc w:val="left"/>
              <w:rPr>
                <w:b/>
                <w:sz w:val="20"/>
              </w:rPr>
            </w:pPr>
            <w:r>
              <w:rPr>
                <w:b/>
                <w:sz w:val="30"/>
              </w:rPr>
              <w:t>Housing tenure</w:t>
            </w:r>
          </w:p>
        </w:tc>
        <w:tc>
          <w:tcPr>
            <w:hMerge/>
          </w:tcPr>
          <w:p>
            <w:pPr>
              <w:bidi w:val="0"/>
              <w:spacing w:after="0" w:afterAutospacing="1"/>
              <w:jc w:val="left"/>
              <w:rPr>
                <w:b/>
                <w:sz w:val="30"/>
              </w:rPr>
            </w:pPr>
          </w:p>
        </w:tc>
        <w:tc>
          <w:tcPr>
            <w:hMerge/>
          </w:tcPr>
          <w:p>
            <w:pPr>
              <w:bidi w:val="0"/>
              <w:spacing w:after="0" w:afterAutospacing="1"/>
              <w:jc w:val="left"/>
              <w:rPr>
                <w:b/>
                <w:sz w:val="30"/>
              </w:rPr>
            </w:pPr>
          </w:p>
        </w:tc>
        <w:tc>
          <w:tcPr>
            <w:hMerge/>
          </w:tcPr>
          <w:p>
            <w:pPr>
              <w:bidi w:val="0"/>
              <w:spacing w:after="0" w:afterAutospacing="1"/>
              <w:jc w:val="left"/>
              <w:rPr>
                <w:b/>
                <w:sz w:val="30"/>
              </w:rPr>
            </w:pPr>
          </w:p>
        </w:tc>
        <w:tc>
          <w:tcPr>
            <w:hMerge/>
          </w:tcPr>
          <w:p>
            <w:pPr>
              <w:bidi w:val="0"/>
              <w:spacing w:after="0" w:afterAutospacing="1"/>
              <w:jc w:val="left"/>
              <w:rPr>
                <w:b/>
                <w:sz w:val="30"/>
              </w:rPr>
            </w:pPr>
          </w:p>
        </w:tc>
        <w:tc>
          <w:tcPr>
            <w:hMerge/>
          </w:tcPr>
          <w:p>
            <w:pPr>
              <w:bidi w:val="0"/>
              <w:spacing w:after="0" w:afterAutospacing="1"/>
              <w:jc w:val="left"/>
              <w:rPr>
                <w:b/>
                <w:sz w:val="30"/>
              </w:rPr>
            </w:pPr>
          </w:p>
        </w:tc>
        <w:tc>
          <w:tcPr>
            <w:hMerge/>
          </w:tcPr>
          <w:p>
            <w:pPr>
              <w:bidi w:val="0"/>
              <w:spacing w:after="0" w:afterAutospacing="1"/>
              <w:jc w:val="left"/>
              <w:rPr>
                <w:b/>
                <w:sz w:val="30"/>
              </w:rPr>
            </w:pPr>
          </w:p>
        </w:tc>
        <w:tc>
          <w:tcPr>
            <w:hMerge/>
          </w:tcPr>
          <w:p>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pPr>
              <w:bidi w:val="0"/>
              <w:spacing w:after="0" w:afterAutospacing="1"/>
              <w:jc w:val="left"/>
              <w:rPr>
                <w:b/>
                <w:sz w:val="30"/>
              </w:rPr>
            </w:pPr>
            <w:r>
              <w:rPr>
                <w:b/>
                <w:sz w:val="20"/>
              </w:rPr>
              <w:t>Greenmount - Households (Enumerated)</w:t>
            </w:r>
          </w:p>
        </w:tc>
        <w:tc>
          <w:tcPr>
            <w:hMerge w:val="restart"/>
          </w:tcPr>
          <w:p>
            <w:pPr>
              <w:bidi w:val="0"/>
              <w:spacing w:after="0" w:afterAutospacing="1"/>
              <w:jc w:val="center"/>
              <w:rPr>
                <w:b/>
                <w:sz w:val="20"/>
              </w:rPr>
            </w:pPr>
            <w:r>
              <w:rPr>
                <w:b/>
                <w:sz w:val="30"/>
              </w:rPr>
              <w:t>2021</w:t>
            </w:r>
          </w:p>
        </w:tc>
        <w:tc>
          <w:tcPr>
            <w:hMerge/>
          </w:tcPr>
          <w:p>
            <w:pPr>
              <w:bidi w:val="0"/>
              <w:spacing w:after="0" w:afterAutospacing="1"/>
              <w:jc w:val="center"/>
              <w:rPr>
                <w:b/>
                <w:sz w:val="30"/>
              </w:rPr>
            </w:pPr>
          </w:p>
        </w:tc>
        <w:tc>
          <w:tcPr>
            <w:hMerge/>
          </w:tcPr>
          <w:p>
            <w:pPr>
              <w:bidi w:val="0"/>
              <w:spacing w:after="0" w:afterAutospacing="1"/>
              <w:jc w:val="center"/>
              <w:rPr>
                <w:b/>
                <w:sz w:val="30"/>
              </w:rPr>
            </w:pPr>
          </w:p>
        </w:tc>
        <w:tc>
          <w:tcPr>
            <w:hMerge w:val="restart"/>
          </w:tcPr>
          <w:p>
            <w:pPr>
              <w:bidi w:val="0"/>
              <w:spacing w:after="0" w:afterAutospacing="1"/>
              <w:jc w:val="center"/>
              <w:rPr>
                <w:b/>
                <w:sz w:val="30"/>
              </w:rPr>
            </w:pPr>
            <w:r>
              <w:rPr>
                <w:b/>
                <w:sz w:val="30"/>
              </w:rPr>
              <w:t>2016</w:t>
            </w:r>
          </w:p>
        </w:tc>
        <w:tc>
          <w:tcPr>
            <w:hMerge/>
          </w:tcPr>
          <w:p>
            <w:pPr>
              <w:bidi w:val="0"/>
              <w:spacing w:after="0" w:afterAutospacing="1"/>
              <w:jc w:val="center"/>
              <w:rPr>
                <w:b/>
                <w:sz w:val="30"/>
              </w:rPr>
            </w:pPr>
          </w:p>
        </w:tc>
        <w:tc>
          <w:tcPr>
            <w:hMerge/>
          </w:tcPr>
          <w:p>
            <w:pPr>
              <w:bidi w:val="0"/>
              <w:spacing w:after="0" w:afterAutospacing="1"/>
              <w:jc w:val="center"/>
              <w:rPr>
                <w:b/>
                <w:sz w:val="30"/>
              </w:rPr>
            </w:pPr>
          </w:p>
        </w:tc>
        <w:tc>
          <w:tcPr>
            <w:vAlign w:val="bottom"/>
          </w:tcPr>
          <w:p>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sz w:val="20"/>
              </w:rPr>
            </w:pPr>
            <w:r>
              <w:rPr>
                <w:b/>
                <w:sz w:val="20"/>
              </w:rPr>
              <w:t>Tenure type</w:t>
            </w:r>
          </w:p>
        </w:tc>
        <w:tc>
          <w:tcPr>
            <w:vAlign w:val="center"/>
          </w:tcPr>
          <w:p>
            <w:pPr>
              <w:bidi w:val="0"/>
              <w:spacing w:after="0" w:afterAutospacing="1"/>
              <w:jc w:val="right"/>
              <w:rPr>
                <w:b/>
                <w:sz w:val="20"/>
              </w:rPr>
            </w:pPr>
            <w:r>
              <w:rPr>
                <w:b/>
                <w:sz w:val="20"/>
              </w:rPr>
              <w:t>Number</w:t>
            </w:r>
          </w:p>
        </w:tc>
        <w:tc>
          <w:tcPr>
            <w:vAlign w:val="center"/>
          </w:tcPr>
          <w:p>
            <w:pPr>
              <w:bidi w:val="0"/>
              <w:spacing w:after="0" w:afterAutospacing="1"/>
              <w:jc w:val="right"/>
              <w:rPr>
                <w:b/>
                <w:sz w:val="20"/>
              </w:rPr>
            </w:pPr>
            <w:r>
              <w:rPr>
                <w:b/>
                <w:sz w:val="20"/>
              </w:rPr>
              <w:t>%</w:t>
            </w:r>
          </w:p>
        </w:tc>
        <w:tc>
          <w:tcPr>
            <w:vAlign w:val="center"/>
          </w:tcPr>
          <w:p>
            <w:pPr>
              <w:bidi w:val="0"/>
              <w:spacing w:after="0" w:afterAutospacing="1"/>
              <w:jc w:val="right"/>
              <w:rPr>
                <w:b/>
                <w:sz w:val="20"/>
              </w:rPr>
            </w:pPr>
            <w:r>
              <w:rPr>
                <w:b/>
                <w:sz w:val="20"/>
              </w:rPr>
              <w:t>Shire of Mundaring %</w:t>
            </w:r>
          </w:p>
        </w:tc>
        <w:tc>
          <w:tcPr>
            <w:vAlign w:val="center"/>
          </w:tcPr>
          <w:p>
            <w:pPr>
              <w:bidi w:val="0"/>
              <w:spacing w:after="0" w:afterAutospacing="1"/>
              <w:jc w:val="right"/>
              <w:rPr>
                <w:b/>
                <w:sz w:val="20"/>
              </w:rPr>
            </w:pPr>
            <w:r>
              <w:rPr>
                <w:b/>
                <w:sz w:val="20"/>
              </w:rPr>
              <w:t>Number</w:t>
            </w:r>
          </w:p>
        </w:tc>
        <w:tc>
          <w:tcPr>
            <w:vAlign w:val="center"/>
          </w:tcPr>
          <w:p>
            <w:pPr>
              <w:bidi w:val="0"/>
              <w:spacing w:after="0" w:afterAutospacing="1"/>
              <w:jc w:val="right"/>
              <w:rPr>
                <w:b/>
                <w:sz w:val="20"/>
              </w:rPr>
            </w:pPr>
            <w:r>
              <w:rPr>
                <w:b/>
                <w:sz w:val="20"/>
              </w:rPr>
              <w:t>%</w:t>
            </w:r>
          </w:p>
        </w:tc>
        <w:tc>
          <w:tcPr>
            <w:vAlign w:val="center"/>
          </w:tcPr>
          <w:p>
            <w:pPr>
              <w:bidi w:val="0"/>
              <w:spacing w:after="0" w:afterAutospacing="1"/>
              <w:jc w:val="right"/>
              <w:rPr>
                <w:b/>
                <w:sz w:val="20"/>
              </w:rPr>
            </w:pPr>
            <w:r>
              <w:rPr>
                <w:b/>
                <w:sz w:val="20"/>
              </w:rPr>
              <w:t>Shire of Mundaring %</w:t>
            </w:r>
          </w:p>
        </w:tc>
        <w:tc>
          <w:tcPr>
            <w:vAlign w:val="center"/>
          </w:tcPr>
          <w:p>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Pr>
            </w:pPr>
            <w:r>
              <w:rPr>
                <w:b w:val="0"/>
                <w:sz w:val="20"/>
              </w:rPr>
              <w:t>Fully owned</w:t>
            </w:r>
          </w:p>
        </w:tc>
        <w:tc>
          <w:tcPr>
            <w:vAlign w:val="center"/>
          </w:tcPr>
          <w:p>
            <w:pPr>
              <w:bidi w:val="0"/>
              <w:spacing w:after="0" w:afterAutospacing="1"/>
              <w:jc w:val="right"/>
              <w:rPr>
                <w:b w:val="0"/>
                <w:sz w:val="20"/>
              </w:rPr>
            </w:pPr>
            <w:r>
              <w:rPr>
                <w:b w:val="0"/>
                <w:sz w:val="20"/>
              </w:rPr>
              <w:t>398</w:t>
            </w:r>
          </w:p>
        </w:tc>
        <w:tc>
          <w:tcPr>
            <w:vAlign w:val="center"/>
          </w:tcPr>
          <w:p>
            <w:pPr>
              <w:bidi w:val="0"/>
              <w:spacing w:after="0" w:afterAutospacing="1"/>
              <w:jc w:val="right"/>
              <w:rPr>
                <w:b w:val="0"/>
                <w:sz w:val="20"/>
              </w:rPr>
            </w:pPr>
            <w:r>
              <w:rPr>
                <w:b w:val="0"/>
                <w:sz w:val="20"/>
              </w:rPr>
              <w:t>40.3</w:t>
            </w:r>
          </w:p>
        </w:tc>
        <w:tc>
          <w:tcPr>
            <w:vAlign w:val="center"/>
          </w:tcPr>
          <w:p>
            <w:pPr>
              <w:bidi w:val="0"/>
              <w:spacing w:after="0" w:afterAutospacing="1"/>
              <w:jc w:val="right"/>
              <w:rPr>
                <w:b w:val="0"/>
                <w:sz w:val="20"/>
              </w:rPr>
            </w:pPr>
            <w:r>
              <w:rPr>
                <w:b w:val="0"/>
                <w:sz w:val="20"/>
              </w:rPr>
              <w:t>37.8</w:t>
            </w:r>
          </w:p>
        </w:tc>
        <w:tc>
          <w:tcPr>
            <w:vAlign w:val="center"/>
          </w:tcPr>
          <w:p>
            <w:pPr>
              <w:bidi w:val="0"/>
              <w:spacing w:after="0" w:afterAutospacing="1"/>
              <w:jc w:val="right"/>
              <w:rPr>
                <w:b w:val="0"/>
                <w:sz w:val="20"/>
              </w:rPr>
            </w:pPr>
            <w:r>
              <w:rPr>
                <w:b w:val="0"/>
                <w:sz w:val="20"/>
              </w:rPr>
              <w:t>368</w:t>
            </w:r>
          </w:p>
        </w:tc>
        <w:tc>
          <w:tcPr>
            <w:vAlign w:val="center"/>
          </w:tcPr>
          <w:p>
            <w:pPr>
              <w:bidi w:val="0"/>
              <w:spacing w:after="0" w:afterAutospacing="1"/>
              <w:jc w:val="right"/>
              <w:rPr>
                <w:b w:val="0"/>
                <w:sz w:val="20"/>
              </w:rPr>
            </w:pPr>
            <w:r>
              <w:rPr>
                <w:b w:val="0"/>
                <w:sz w:val="20"/>
              </w:rPr>
              <w:t>37.4</w:t>
            </w:r>
          </w:p>
        </w:tc>
        <w:tc>
          <w:tcPr>
            <w:vAlign w:val="center"/>
          </w:tcPr>
          <w:p>
            <w:pPr>
              <w:bidi w:val="0"/>
              <w:spacing w:after="0" w:afterAutospacing="1"/>
              <w:jc w:val="right"/>
              <w:rPr>
                <w:b w:val="0"/>
                <w:sz w:val="20"/>
              </w:rPr>
            </w:pPr>
            <w:r>
              <w:rPr>
                <w:b w:val="0"/>
                <w:sz w:val="20"/>
              </w:rPr>
              <w:t>36.0</w:t>
            </w:r>
          </w:p>
        </w:tc>
        <w:tc>
          <w:tcPr>
            <w:vAlign w:val="center"/>
          </w:tcPr>
          <w:p>
            <w:pPr>
              <w:bidi w:val="0"/>
              <w:spacing w:after="0" w:afterAutospacing="1"/>
              <w:jc w:val="right"/>
              <w:rPr>
                <w:b w:val="0"/>
                <w:sz w:val="20"/>
              </w:rPr>
            </w:pPr>
            <w:r>
              <w:rPr>
                <w:b w:val="0"/>
                <w:sz w:val="20"/>
              </w:rPr>
              <w:t>+30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Pr>
            </w:pPr>
            <w:r>
              <w:rPr>
                <w:b w:val="0"/>
                <w:sz w:val="20"/>
              </w:rPr>
              <w:t>Mortgage</w:t>
            </w:r>
          </w:p>
        </w:tc>
        <w:tc>
          <w:tcPr>
            <w:vAlign w:val="center"/>
          </w:tcPr>
          <w:p>
            <w:pPr>
              <w:bidi w:val="0"/>
              <w:spacing w:after="0" w:afterAutospacing="1"/>
              <w:jc w:val="right"/>
              <w:rPr>
                <w:b w:val="0"/>
                <w:sz w:val="20"/>
              </w:rPr>
            </w:pPr>
            <w:r>
              <w:rPr>
                <w:b w:val="0"/>
                <w:sz w:val="20"/>
              </w:rPr>
              <w:t>436</w:t>
            </w:r>
          </w:p>
        </w:tc>
        <w:tc>
          <w:tcPr>
            <w:vAlign w:val="center"/>
          </w:tcPr>
          <w:p>
            <w:pPr>
              <w:bidi w:val="0"/>
              <w:spacing w:after="0" w:afterAutospacing="1"/>
              <w:jc w:val="right"/>
              <w:rPr>
                <w:b w:val="0"/>
                <w:sz w:val="20"/>
              </w:rPr>
            </w:pPr>
            <w:r>
              <w:rPr>
                <w:b w:val="0"/>
                <w:sz w:val="20"/>
              </w:rPr>
              <w:t>44.2</w:t>
            </w:r>
          </w:p>
        </w:tc>
        <w:tc>
          <w:tcPr>
            <w:vAlign w:val="center"/>
          </w:tcPr>
          <w:p>
            <w:pPr>
              <w:bidi w:val="0"/>
              <w:spacing w:after="0" w:afterAutospacing="1"/>
              <w:jc w:val="right"/>
              <w:rPr>
                <w:b w:val="0"/>
                <w:sz w:val="20"/>
              </w:rPr>
            </w:pPr>
            <w:r>
              <w:rPr>
                <w:b w:val="0"/>
                <w:sz w:val="20"/>
              </w:rPr>
              <w:t>46.7</w:t>
            </w:r>
          </w:p>
        </w:tc>
        <w:tc>
          <w:tcPr>
            <w:vAlign w:val="center"/>
          </w:tcPr>
          <w:p>
            <w:pPr>
              <w:bidi w:val="0"/>
              <w:spacing w:after="0" w:afterAutospacing="1"/>
              <w:jc w:val="right"/>
              <w:rPr>
                <w:b w:val="0"/>
                <w:sz w:val="20"/>
              </w:rPr>
            </w:pPr>
            <w:r>
              <w:rPr>
                <w:b w:val="0"/>
                <w:sz w:val="20"/>
              </w:rPr>
              <w:t>442</w:t>
            </w:r>
          </w:p>
        </w:tc>
        <w:tc>
          <w:tcPr>
            <w:vAlign w:val="center"/>
          </w:tcPr>
          <w:p>
            <w:pPr>
              <w:bidi w:val="0"/>
              <w:spacing w:after="0" w:afterAutospacing="1"/>
              <w:jc w:val="right"/>
              <w:rPr>
                <w:b w:val="0"/>
                <w:sz w:val="20"/>
              </w:rPr>
            </w:pPr>
            <w:r>
              <w:rPr>
                <w:b w:val="0"/>
                <w:sz w:val="20"/>
              </w:rPr>
              <w:t>44.9</w:t>
            </w:r>
          </w:p>
        </w:tc>
        <w:tc>
          <w:tcPr>
            <w:vAlign w:val="center"/>
          </w:tcPr>
          <w:p>
            <w:pPr>
              <w:bidi w:val="0"/>
              <w:spacing w:after="0" w:afterAutospacing="1"/>
              <w:jc w:val="right"/>
              <w:rPr>
                <w:b w:val="0"/>
                <w:sz w:val="20"/>
              </w:rPr>
            </w:pPr>
            <w:r>
              <w:rPr>
                <w:b w:val="0"/>
                <w:sz w:val="20"/>
              </w:rPr>
              <w:t>46.0</w:t>
            </w:r>
          </w:p>
        </w:tc>
        <w:tc>
          <w:tcPr>
            <w:vAlign w:val="center"/>
          </w:tcPr>
          <w:p>
            <w:pPr>
              <w:bidi w:val="0"/>
              <w:spacing w:after="0" w:afterAutospacing="1"/>
              <w:jc w:val="right"/>
              <w:rPr>
                <w:b w:val="0"/>
                <w:sz w:val="20"/>
              </w:rPr>
            </w:pPr>
            <w:r>
              <w:rPr>
                <w:b w:val="0"/>
                <w:sz w:val="20"/>
              </w:rPr>
              <w:t>-6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Pr>
            </w:pPr>
            <w:r>
              <w:rPr>
                <w:b w:val="0"/>
                <w:sz w:val="20"/>
              </w:rPr>
              <w:t>Renting - Total</w:t>
            </w:r>
          </w:p>
        </w:tc>
        <w:tc>
          <w:tcPr>
            <w:vAlign w:val="center"/>
          </w:tcPr>
          <w:p>
            <w:pPr>
              <w:bidi w:val="0"/>
              <w:spacing w:after="0" w:afterAutospacing="1"/>
              <w:jc w:val="right"/>
              <w:rPr>
                <w:b w:val="0"/>
                <w:sz w:val="20"/>
              </w:rPr>
            </w:pPr>
            <w:r>
              <w:rPr>
                <w:b w:val="0"/>
                <w:sz w:val="20"/>
              </w:rPr>
              <w:t>100</w:t>
            </w:r>
          </w:p>
        </w:tc>
        <w:tc>
          <w:tcPr>
            <w:vAlign w:val="center"/>
          </w:tcPr>
          <w:p>
            <w:pPr>
              <w:bidi w:val="0"/>
              <w:spacing w:after="0" w:afterAutospacing="1"/>
              <w:jc w:val="right"/>
              <w:rPr>
                <w:b w:val="0"/>
                <w:sz w:val="20"/>
              </w:rPr>
            </w:pPr>
            <w:r>
              <w:rPr>
                <w:b w:val="0"/>
                <w:sz w:val="20"/>
              </w:rPr>
              <w:t>10.1</w:t>
            </w:r>
          </w:p>
        </w:tc>
        <w:tc>
          <w:tcPr>
            <w:vAlign w:val="center"/>
          </w:tcPr>
          <w:p>
            <w:pPr>
              <w:bidi w:val="0"/>
              <w:spacing w:after="0" w:afterAutospacing="1"/>
              <w:jc w:val="right"/>
              <w:rPr>
                <w:b w:val="0"/>
                <w:sz w:val="20"/>
              </w:rPr>
            </w:pPr>
            <w:r>
              <w:rPr>
                <w:b w:val="0"/>
                <w:sz w:val="20"/>
              </w:rPr>
              <w:t>10.8</w:t>
            </w:r>
          </w:p>
        </w:tc>
        <w:tc>
          <w:tcPr>
            <w:vAlign w:val="center"/>
          </w:tcPr>
          <w:p>
            <w:pPr>
              <w:bidi w:val="0"/>
              <w:spacing w:after="0" w:afterAutospacing="1"/>
              <w:jc w:val="right"/>
              <w:rPr>
                <w:b w:val="0"/>
                <w:sz w:val="20"/>
              </w:rPr>
            </w:pPr>
            <w:r>
              <w:rPr>
                <w:b w:val="0"/>
                <w:sz w:val="20"/>
              </w:rPr>
              <w:t>110</w:t>
            </w:r>
          </w:p>
        </w:tc>
        <w:tc>
          <w:tcPr>
            <w:vAlign w:val="center"/>
          </w:tcPr>
          <w:p>
            <w:pPr>
              <w:bidi w:val="0"/>
              <w:spacing w:after="0" w:afterAutospacing="1"/>
              <w:jc w:val="right"/>
              <w:rPr>
                <w:b w:val="0"/>
                <w:sz w:val="20"/>
              </w:rPr>
            </w:pPr>
            <w:r>
              <w:rPr>
                <w:b w:val="0"/>
                <w:sz w:val="20"/>
              </w:rPr>
              <w:t>11.2</w:t>
            </w:r>
          </w:p>
        </w:tc>
        <w:tc>
          <w:tcPr>
            <w:vAlign w:val="center"/>
          </w:tcPr>
          <w:p>
            <w:pPr>
              <w:bidi w:val="0"/>
              <w:spacing w:after="0" w:afterAutospacing="1"/>
              <w:jc w:val="right"/>
              <w:rPr>
                <w:b w:val="0"/>
                <w:sz w:val="20"/>
              </w:rPr>
            </w:pPr>
            <w:r>
              <w:rPr>
                <w:b w:val="0"/>
                <w:sz w:val="20"/>
              </w:rPr>
              <w:t>11.1</w:t>
            </w:r>
          </w:p>
        </w:tc>
        <w:tc>
          <w:tcPr>
            <w:vAlign w:val="center"/>
          </w:tcPr>
          <w:p>
            <w:pPr>
              <w:bidi w:val="0"/>
              <w:spacing w:after="0" w:afterAutospacing="1"/>
              <w:jc w:val="right"/>
              <w:rPr>
                <w:b w:val="0"/>
                <w:sz w:val="20"/>
              </w:rPr>
            </w:pPr>
            <w:r>
              <w:rPr>
                <w:b w:val="0"/>
                <w:sz w:val="20"/>
              </w:rPr>
              <w:t>-10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Pr>
            </w:pPr>
            <w:r>
              <w:rPr>
                <w:b w:val="0"/>
                <w:sz w:val="20"/>
              </w:rPr>
              <w:t>Renting - Social housing</w:t>
            </w:r>
          </w:p>
        </w:tc>
        <w:tc>
          <w:tcPr>
            <w:vAlign w:val="center"/>
          </w:tcPr>
          <w:p>
            <w:pPr>
              <w:bidi w:val="0"/>
              <w:spacing w:after="0" w:afterAutospacing="1"/>
              <w:jc w:val="right"/>
              <w:rPr>
                <w:b w:val="0"/>
                <w:sz w:val="20"/>
              </w:rPr>
            </w:pPr>
            <w:r>
              <w:rPr>
                <w:b w:val="0"/>
                <w:sz w:val="20"/>
              </w:rPr>
              <w:t>11</w:t>
            </w:r>
          </w:p>
        </w:tc>
        <w:tc>
          <w:tcPr>
            <w:vAlign w:val="center"/>
          </w:tcPr>
          <w:p>
            <w:pPr>
              <w:bidi w:val="0"/>
              <w:spacing w:after="0" w:afterAutospacing="1"/>
              <w:jc w:val="right"/>
              <w:rPr>
                <w:b w:val="0"/>
                <w:sz w:val="20"/>
              </w:rPr>
            </w:pPr>
            <w:r>
              <w:rPr>
                <w:b w:val="0"/>
                <w:sz w:val="20"/>
              </w:rPr>
              <w:t>1.1</w:t>
            </w:r>
          </w:p>
        </w:tc>
        <w:tc>
          <w:tcPr>
            <w:vAlign w:val="center"/>
          </w:tcPr>
          <w:p>
            <w:pPr>
              <w:bidi w:val="0"/>
              <w:spacing w:after="0" w:afterAutospacing="1"/>
              <w:jc w:val="right"/>
              <w:rPr>
                <w:b w:val="0"/>
                <w:sz w:val="20"/>
              </w:rPr>
            </w:pPr>
            <w:r>
              <w:rPr>
                <w:b w:val="0"/>
                <w:sz w:val="20"/>
              </w:rPr>
              <w:t>1.1</w:t>
            </w:r>
          </w:p>
        </w:tc>
        <w:tc>
          <w:tcPr>
            <w:vAlign w:val="center"/>
          </w:tcPr>
          <w:p>
            <w:pPr>
              <w:bidi w:val="0"/>
              <w:spacing w:after="0" w:afterAutospacing="1"/>
              <w:jc w:val="right"/>
              <w:rPr>
                <w:b w:val="0"/>
                <w:sz w:val="20"/>
              </w:rPr>
            </w:pPr>
            <w:r>
              <w:rPr>
                <w:b w:val="0"/>
                <w:sz w:val="20"/>
              </w:rPr>
              <w:t>21</w:t>
            </w:r>
          </w:p>
        </w:tc>
        <w:tc>
          <w:tcPr>
            <w:vAlign w:val="center"/>
          </w:tcPr>
          <w:p>
            <w:pPr>
              <w:bidi w:val="0"/>
              <w:spacing w:after="0" w:afterAutospacing="1"/>
              <w:jc w:val="right"/>
              <w:rPr>
                <w:b w:val="0"/>
                <w:sz w:val="20"/>
              </w:rPr>
            </w:pPr>
            <w:r>
              <w:rPr>
                <w:b w:val="0"/>
                <w:sz w:val="20"/>
              </w:rPr>
              <w:t>2.1</w:t>
            </w:r>
          </w:p>
        </w:tc>
        <w:tc>
          <w:tcPr>
            <w:vAlign w:val="center"/>
          </w:tcPr>
          <w:p>
            <w:pPr>
              <w:bidi w:val="0"/>
              <w:spacing w:after="0" w:afterAutospacing="1"/>
              <w:jc w:val="right"/>
              <w:rPr>
                <w:b w:val="0"/>
                <w:sz w:val="20"/>
              </w:rPr>
            </w:pPr>
            <w:r>
              <w:rPr>
                <w:b w:val="0"/>
                <w:sz w:val="20"/>
              </w:rPr>
              <w:t>1.3</w:t>
            </w:r>
          </w:p>
        </w:tc>
        <w:tc>
          <w:tcPr>
            <w:vAlign w:val="center"/>
          </w:tcPr>
          <w:p>
            <w:pPr>
              <w:bidi w:val="0"/>
              <w:spacing w:after="0" w:afterAutospacing="1"/>
              <w:jc w:val="right"/>
              <w:rPr>
                <w:b w:val="0"/>
                <w:sz w:val="20"/>
              </w:rPr>
            </w:pPr>
            <w:r>
              <w:rPr>
                <w:b w:val="0"/>
                <w:sz w:val="20"/>
              </w:rPr>
              <w:t>-10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Pr>
            </w:pPr>
            <w:r>
              <w:rPr>
                <w:b w:val="0"/>
                <w:sz w:val="20"/>
              </w:rPr>
              <w:t>Renting - Private</w:t>
            </w:r>
          </w:p>
        </w:tc>
        <w:tc>
          <w:tcPr>
            <w:vAlign w:val="center"/>
          </w:tcPr>
          <w:p>
            <w:pPr>
              <w:bidi w:val="0"/>
              <w:spacing w:after="0" w:afterAutospacing="1"/>
              <w:jc w:val="right"/>
              <w:rPr>
                <w:b w:val="0"/>
                <w:sz w:val="20"/>
              </w:rPr>
            </w:pPr>
            <w:r>
              <w:rPr>
                <w:b w:val="0"/>
                <w:sz w:val="20"/>
              </w:rPr>
              <w:t>89</w:t>
            </w:r>
          </w:p>
        </w:tc>
        <w:tc>
          <w:tcPr>
            <w:vAlign w:val="center"/>
          </w:tcPr>
          <w:p>
            <w:pPr>
              <w:bidi w:val="0"/>
              <w:spacing w:after="0" w:afterAutospacing="1"/>
              <w:jc w:val="right"/>
              <w:rPr>
                <w:b w:val="0"/>
                <w:sz w:val="20"/>
              </w:rPr>
            </w:pPr>
            <w:r>
              <w:rPr>
                <w:b w:val="0"/>
                <w:sz w:val="20"/>
              </w:rPr>
              <w:t>9.0</w:t>
            </w:r>
          </w:p>
        </w:tc>
        <w:tc>
          <w:tcPr>
            <w:vAlign w:val="center"/>
          </w:tcPr>
          <w:p>
            <w:pPr>
              <w:bidi w:val="0"/>
              <w:spacing w:after="0" w:afterAutospacing="1"/>
              <w:jc w:val="right"/>
              <w:rPr>
                <w:b w:val="0"/>
                <w:sz w:val="20"/>
              </w:rPr>
            </w:pPr>
            <w:r>
              <w:rPr>
                <w:b w:val="0"/>
                <w:sz w:val="20"/>
              </w:rPr>
              <w:t>9.6</w:t>
            </w:r>
          </w:p>
        </w:tc>
        <w:tc>
          <w:tcPr>
            <w:vAlign w:val="center"/>
          </w:tcPr>
          <w:p>
            <w:pPr>
              <w:bidi w:val="0"/>
              <w:spacing w:after="0" w:afterAutospacing="1"/>
              <w:jc w:val="right"/>
              <w:rPr>
                <w:b w:val="0"/>
                <w:sz w:val="20"/>
              </w:rPr>
            </w:pPr>
            <w:r>
              <w:rPr>
                <w:b w:val="0"/>
                <w:sz w:val="20"/>
              </w:rPr>
              <w:t>89</w:t>
            </w:r>
          </w:p>
        </w:tc>
        <w:tc>
          <w:tcPr>
            <w:vAlign w:val="center"/>
          </w:tcPr>
          <w:p>
            <w:pPr>
              <w:bidi w:val="0"/>
              <w:spacing w:after="0" w:afterAutospacing="1"/>
              <w:jc w:val="right"/>
              <w:rPr>
                <w:b w:val="0"/>
                <w:sz w:val="20"/>
              </w:rPr>
            </w:pPr>
            <w:r>
              <w:rPr>
                <w:b w:val="0"/>
                <w:sz w:val="20"/>
              </w:rPr>
              <w:t>9.0</w:t>
            </w:r>
          </w:p>
        </w:tc>
        <w:tc>
          <w:tcPr>
            <w:vAlign w:val="center"/>
          </w:tcPr>
          <w:p>
            <w:pPr>
              <w:bidi w:val="0"/>
              <w:spacing w:after="0" w:afterAutospacing="1"/>
              <w:jc w:val="right"/>
              <w:rPr>
                <w:b w:val="0"/>
                <w:sz w:val="20"/>
              </w:rPr>
            </w:pPr>
            <w:r>
              <w:rPr>
                <w:b w:val="0"/>
                <w:sz w:val="20"/>
              </w:rPr>
              <w:t>9.7</w:t>
            </w:r>
          </w:p>
        </w:tc>
        <w:tc>
          <w:tcPr>
            <w:vAlign w:val="center"/>
          </w:tcPr>
          <w:p>
            <w:pPr>
              <w:bidi w:val="0"/>
              <w:spacing w:after="0" w:afterAutospacing="1"/>
              <w:jc w:val="right"/>
              <w:rPr>
                <w:b w:val="0"/>
                <w:sz w:val="20"/>
              </w:rPr>
            </w:pPr>
            <w:r>
              <w:rPr>
                <w:b w:val="0"/>
                <w:sz w:val="20"/>
              </w:rPr>
              <w:t>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Pr>
            </w:pPr>
            <w:r>
              <w:rPr>
                <w:b w:val="0"/>
                <w:sz w:val="20"/>
              </w:rPr>
              <w:t>Renting - Not stated</w:t>
            </w:r>
          </w:p>
        </w:tc>
        <w:tc>
          <w:tcPr>
            <w:vAlign w:val="center"/>
          </w:tcPr>
          <w:p>
            <w:pPr>
              <w:bidi w:val="0"/>
              <w:spacing w:after="0" w:afterAutospacing="1"/>
              <w:jc w:val="right"/>
              <w:rPr>
                <w:b w:val="0"/>
                <w:sz w:val="20"/>
              </w:rPr>
            </w:pPr>
            <w:r>
              <w:rPr>
                <w:b w:val="0"/>
                <w:sz w:val="20"/>
              </w:rPr>
              <w:t>0</w:t>
            </w:r>
          </w:p>
        </w:tc>
        <w:tc>
          <w:tcPr>
            <w:vAlign w:val="center"/>
          </w:tcPr>
          <w:p>
            <w:pPr>
              <w:bidi w:val="0"/>
              <w:spacing w:after="0" w:afterAutospacing="1"/>
              <w:jc w:val="right"/>
              <w:rPr>
                <w:b w:val="0"/>
                <w:sz w:val="20"/>
              </w:rPr>
            </w:pPr>
            <w:r>
              <w:rPr>
                <w:b w:val="0"/>
                <w:sz w:val="20"/>
              </w:rPr>
              <w:t>0.0</w:t>
            </w:r>
          </w:p>
        </w:tc>
        <w:tc>
          <w:tcPr>
            <w:vAlign w:val="center"/>
          </w:tcPr>
          <w:p>
            <w:pPr>
              <w:bidi w:val="0"/>
              <w:spacing w:after="0" w:afterAutospacing="1"/>
              <w:jc w:val="right"/>
              <w:rPr>
                <w:b w:val="0"/>
                <w:sz w:val="20"/>
              </w:rPr>
            </w:pPr>
            <w:r>
              <w:rPr>
                <w:b w:val="0"/>
                <w:sz w:val="20"/>
              </w:rPr>
              <w:t>0.1</w:t>
            </w:r>
          </w:p>
        </w:tc>
        <w:tc>
          <w:tcPr>
            <w:vAlign w:val="center"/>
          </w:tcPr>
          <w:p>
            <w:pPr>
              <w:bidi w:val="0"/>
              <w:spacing w:after="0" w:afterAutospacing="1"/>
              <w:jc w:val="right"/>
              <w:rPr>
                <w:b w:val="0"/>
                <w:sz w:val="20"/>
              </w:rPr>
            </w:pPr>
            <w:r>
              <w:rPr>
                <w:b w:val="0"/>
                <w:sz w:val="20"/>
              </w:rPr>
              <w:t>0</w:t>
            </w:r>
          </w:p>
        </w:tc>
        <w:tc>
          <w:tcPr>
            <w:vAlign w:val="center"/>
          </w:tcPr>
          <w:p>
            <w:pPr>
              <w:bidi w:val="0"/>
              <w:spacing w:after="0" w:afterAutospacing="1"/>
              <w:jc w:val="right"/>
              <w:rPr>
                <w:b w:val="0"/>
                <w:sz w:val="20"/>
              </w:rPr>
            </w:pPr>
            <w:r>
              <w:rPr>
                <w:b w:val="0"/>
                <w:sz w:val="20"/>
              </w:rPr>
              <w:t>0.0</w:t>
            </w:r>
          </w:p>
        </w:tc>
        <w:tc>
          <w:tcPr>
            <w:vAlign w:val="center"/>
          </w:tcPr>
          <w:p>
            <w:pPr>
              <w:bidi w:val="0"/>
              <w:spacing w:after="0" w:afterAutospacing="1"/>
              <w:jc w:val="right"/>
              <w:rPr>
                <w:b w:val="0"/>
                <w:sz w:val="20"/>
              </w:rPr>
            </w:pPr>
            <w:r>
              <w:rPr>
                <w:b w:val="0"/>
                <w:sz w:val="20"/>
              </w:rPr>
              <w:t>0.1</w:t>
            </w:r>
          </w:p>
        </w:tc>
        <w:tc>
          <w:tcPr>
            <w:vAlign w:val="center"/>
          </w:tcPr>
          <w:p>
            <w:pPr>
              <w:bidi w:val="0"/>
              <w:spacing w:after="0" w:afterAutospacing="1"/>
              <w:jc w:val="right"/>
              <w:rPr>
                <w:b w:val="0"/>
                <w:sz w:val="20"/>
              </w:rPr>
            </w:pPr>
            <w:r>
              <w:rPr>
                <w:b w:val="0"/>
                <w:sz w:val="20"/>
              </w:rPr>
              <w:t>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Pr>
            </w:pPr>
            <w:r>
              <w:rPr>
                <w:b w:val="0"/>
                <w:sz w:val="20"/>
              </w:rPr>
              <w:t>Other tenure type</w:t>
            </w:r>
          </w:p>
        </w:tc>
        <w:tc>
          <w:tcPr>
            <w:vAlign w:val="center"/>
          </w:tcPr>
          <w:p>
            <w:pPr>
              <w:bidi w:val="0"/>
              <w:spacing w:after="0" w:afterAutospacing="1"/>
              <w:jc w:val="right"/>
              <w:rPr>
                <w:b w:val="0"/>
                <w:sz w:val="20"/>
              </w:rPr>
            </w:pPr>
            <w:r>
              <w:rPr>
                <w:b w:val="0"/>
                <w:sz w:val="20"/>
              </w:rPr>
              <w:t>17</w:t>
            </w:r>
          </w:p>
        </w:tc>
        <w:tc>
          <w:tcPr>
            <w:vAlign w:val="center"/>
          </w:tcPr>
          <w:p>
            <w:pPr>
              <w:bidi w:val="0"/>
              <w:spacing w:after="0" w:afterAutospacing="1"/>
              <w:jc w:val="right"/>
              <w:rPr>
                <w:b w:val="0"/>
                <w:sz w:val="20"/>
              </w:rPr>
            </w:pPr>
            <w:r>
              <w:rPr>
                <w:b w:val="0"/>
                <w:sz w:val="20"/>
              </w:rPr>
              <w:t>1.7</w:t>
            </w:r>
          </w:p>
        </w:tc>
        <w:tc>
          <w:tcPr>
            <w:vAlign w:val="center"/>
          </w:tcPr>
          <w:p>
            <w:pPr>
              <w:bidi w:val="0"/>
              <w:spacing w:after="0" w:afterAutospacing="1"/>
              <w:jc w:val="right"/>
              <w:rPr>
                <w:b w:val="0"/>
                <w:sz w:val="20"/>
              </w:rPr>
            </w:pPr>
            <w:r>
              <w:rPr>
                <w:b w:val="0"/>
                <w:sz w:val="20"/>
              </w:rPr>
              <w:t>1.3</w:t>
            </w:r>
          </w:p>
        </w:tc>
        <w:tc>
          <w:tcPr>
            <w:vAlign w:val="center"/>
          </w:tcPr>
          <w:p>
            <w:pPr>
              <w:bidi w:val="0"/>
              <w:spacing w:after="0" w:afterAutospacing="1"/>
              <w:jc w:val="right"/>
              <w:rPr>
                <w:b w:val="0"/>
                <w:sz w:val="20"/>
              </w:rPr>
            </w:pPr>
            <w:r>
              <w:rPr>
                <w:b w:val="0"/>
                <w:sz w:val="20"/>
              </w:rPr>
              <w:t>12</w:t>
            </w:r>
          </w:p>
        </w:tc>
        <w:tc>
          <w:tcPr>
            <w:vAlign w:val="center"/>
          </w:tcPr>
          <w:p>
            <w:pPr>
              <w:bidi w:val="0"/>
              <w:spacing w:after="0" w:afterAutospacing="1"/>
              <w:jc w:val="right"/>
              <w:rPr>
                <w:b w:val="0"/>
                <w:sz w:val="20"/>
              </w:rPr>
            </w:pPr>
            <w:r>
              <w:rPr>
                <w:b w:val="0"/>
                <w:sz w:val="20"/>
              </w:rPr>
              <w:t>1.2</w:t>
            </w:r>
          </w:p>
        </w:tc>
        <w:tc>
          <w:tcPr>
            <w:vAlign w:val="center"/>
          </w:tcPr>
          <w:p>
            <w:pPr>
              <w:bidi w:val="0"/>
              <w:spacing w:after="0" w:afterAutospacing="1"/>
              <w:jc w:val="right"/>
              <w:rPr>
                <w:b w:val="0"/>
                <w:sz w:val="20"/>
              </w:rPr>
            </w:pPr>
            <w:r>
              <w:rPr>
                <w:b w:val="0"/>
                <w:sz w:val="20"/>
              </w:rPr>
              <w:t>1.2</w:t>
            </w:r>
          </w:p>
        </w:tc>
        <w:tc>
          <w:tcPr>
            <w:vAlign w:val="center"/>
          </w:tcPr>
          <w:p>
            <w:pPr>
              <w:bidi w:val="0"/>
              <w:spacing w:after="0" w:afterAutospacing="1"/>
              <w:jc w:val="right"/>
              <w:rPr>
                <w:b w:val="0"/>
                <w:sz w:val="20"/>
              </w:rPr>
            </w:pPr>
            <w:r>
              <w:rPr>
                <w:b w:val="0"/>
                <w:sz w:val="20"/>
              </w:rPr>
              <w:t>+5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Pr>
            </w:pPr>
            <w:r>
              <w:rPr>
                <w:b w:val="0"/>
                <w:sz w:val="20"/>
              </w:rPr>
              <w:t>Not stated</w:t>
            </w:r>
          </w:p>
        </w:tc>
        <w:tc>
          <w:tcPr>
            <w:vAlign w:val="center"/>
          </w:tcPr>
          <w:p>
            <w:pPr>
              <w:bidi w:val="0"/>
              <w:spacing w:after="0" w:afterAutospacing="1"/>
              <w:jc w:val="right"/>
              <w:rPr>
                <w:b w:val="0"/>
                <w:sz w:val="20"/>
              </w:rPr>
            </w:pPr>
            <w:r>
              <w:rPr>
                <w:b w:val="0"/>
                <w:sz w:val="20"/>
              </w:rPr>
              <w:t>36</w:t>
            </w:r>
          </w:p>
        </w:tc>
        <w:tc>
          <w:tcPr>
            <w:vAlign w:val="center"/>
          </w:tcPr>
          <w:p>
            <w:pPr>
              <w:bidi w:val="0"/>
              <w:spacing w:after="0" w:afterAutospacing="1"/>
              <w:jc w:val="right"/>
              <w:rPr>
                <w:b w:val="0"/>
                <w:sz w:val="20"/>
              </w:rPr>
            </w:pPr>
            <w:r>
              <w:rPr>
                <w:b w:val="0"/>
                <w:sz w:val="20"/>
              </w:rPr>
              <w:t>3.6</w:t>
            </w:r>
          </w:p>
        </w:tc>
        <w:tc>
          <w:tcPr>
            <w:vAlign w:val="center"/>
          </w:tcPr>
          <w:p>
            <w:pPr>
              <w:bidi w:val="0"/>
              <w:spacing w:after="0" w:afterAutospacing="1"/>
              <w:jc w:val="right"/>
              <w:rPr>
                <w:b w:val="0"/>
                <w:sz w:val="20"/>
              </w:rPr>
            </w:pPr>
            <w:r>
              <w:rPr>
                <w:b w:val="0"/>
                <w:sz w:val="20"/>
              </w:rPr>
              <w:t>3.4</w:t>
            </w:r>
          </w:p>
        </w:tc>
        <w:tc>
          <w:tcPr>
            <w:vAlign w:val="center"/>
          </w:tcPr>
          <w:p>
            <w:pPr>
              <w:bidi w:val="0"/>
              <w:spacing w:after="0" w:afterAutospacing="1"/>
              <w:jc w:val="right"/>
              <w:rPr>
                <w:b w:val="0"/>
                <w:sz w:val="20"/>
              </w:rPr>
            </w:pPr>
            <w:r>
              <w:rPr>
                <w:b w:val="0"/>
                <w:sz w:val="20"/>
              </w:rPr>
              <w:t>52</w:t>
            </w:r>
          </w:p>
        </w:tc>
        <w:tc>
          <w:tcPr>
            <w:vAlign w:val="center"/>
          </w:tcPr>
          <w:p>
            <w:pPr>
              <w:bidi w:val="0"/>
              <w:spacing w:after="0" w:afterAutospacing="1"/>
              <w:jc w:val="right"/>
              <w:rPr>
                <w:b w:val="0"/>
                <w:sz w:val="20"/>
              </w:rPr>
            </w:pPr>
            <w:r>
              <w:rPr>
                <w:b w:val="0"/>
                <w:sz w:val="20"/>
              </w:rPr>
              <w:t>5.3</w:t>
            </w:r>
          </w:p>
        </w:tc>
        <w:tc>
          <w:tcPr>
            <w:vAlign w:val="center"/>
          </w:tcPr>
          <w:p>
            <w:pPr>
              <w:bidi w:val="0"/>
              <w:spacing w:after="0" w:afterAutospacing="1"/>
              <w:jc w:val="right"/>
              <w:rPr>
                <w:b w:val="0"/>
                <w:sz w:val="20"/>
              </w:rPr>
            </w:pPr>
            <w:r>
              <w:rPr>
                <w:b w:val="0"/>
                <w:sz w:val="20"/>
              </w:rPr>
              <w:t>5.7</w:t>
            </w:r>
          </w:p>
        </w:tc>
        <w:tc>
          <w:tcPr>
            <w:vAlign w:val="center"/>
          </w:tcPr>
          <w:p>
            <w:pPr>
              <w:bidi w:val="0"/>
              <w:spacing w:after="0" w:afterAutospacing="1"/>
              <w:jc w:val="right"/>
              <w:rPr>
                <w:b w:val="0"/>
                <w:sz w:val="20"/>
              </w:rPr>
            </w:pPr>
            <w:r>
              <w:rPr>
                <w:b w:val="0"/>
                <w:sz w:val="20"/>
              </w:rPr>
              <w:t>-16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sz w:val="20"/>
              </w:rPr>
            </w:pPr>
            <w:r>
              <w:rPr>
                <w:b/>
                <w:sz w:val="20"/>
              </w:rPr>
              <w:t>Total households</w:t>
            </w:r>
          </w:p>
        </w:tc>
        <w:tc>
          <w:tcPr>
            <w:vAlign w:val="center"/>
          </w:tcPr>
          <w:p>
            <w:pPr>
              <w:bidi w:val="0"/>
              <w:spacing w:after="0" w:afterAutospacing="1"/>
              <w:jc w:val="right"/>
              <w:rPr>
                <w:b/>
                <w:sz w:val="20"/>
              </w:rPr>
            </w:pPr>
            <w:r>
              <w:rPr>
                <w:b/>
                <w:sz w:val="20"/>
              </w:rPr>
              <w:t>987</w:t>
            </w:r>
          </w:p>
        </w:tc>
        <w:tc>
          <w:tcPr>
            <w:vAlign w:val="center"/>
          </w:tcPr>
          <w:p>
            <w:pPr>
              <w:bidi w:val="0"/>
              <w:spacing w:after="0" w:afterAutospacing="1"/>
              <w:jc w:val="right"/>
              <w:rPr>
                <w:b/>
                <w:sz w:val="20"/>
              </w:rPr>
            </w:pPr>
            <w:r>
              <w:rPr>
                <w:b/>
                <w:sz w:val="20"/>
              </w:rPr>
              <w:t>100.0</w:t>
            </w:r>
          </w:p>
        </w:tc>
        <w:tc>
          <w:tcPr>
            <w:vAlign w:val="center"/>
          </w:tcPr>
          <w:p>
            <w:pPr>
              <w:bidi w:val="0"/>
              <w:spacing w:after="0" w:afterAutospacing="1"/>
              <w:jc w:val="right"/>
              <w:rPr>
                <w:b/>
                <w:sz w:val="20"/>
              </w:rPr>
            </w:pPr>
            <w:r>
              <w:rPr>
                <w:b/>
                <w:sz w:val="20"/>
              </w:rPr>
              <w:t>100.0</w:t>
            </w:r>
          </w:p>
        </w:tc>
        <w:tc>
          <w:tcPr>
            <w:vAlign w:val="center"/>
          </w:tcPr>
          <w:p>
            <w:pPr>
              <w:bidi w:val="0"/>
              <w:spacing w:after="0" w:afterAutospacing="1"/>
              <w:jc w:val="right"/>
              <w:rPr>
                <w:b/>
                <w:sz w:val="20"/>
              </w:rPr>
            </w:pPr>
            <w:r>
              <w:rPr>
                <w:b/>
                <w:sz w:val="20"/>
              </w:rPr>
              <w:t>984</w:t>
            </w:r>
          </w:p>
        </w:tc>
        <w:tc>
          <w:tcPr>
            <w:vAlign w:val="center"/>
          </w:tcPr>
          <w:p>
            <w:pPr>
              <w:bidi w:val="0"/>
              <w:spacing w:after="0" w:afterAutospacing="1"/>
              <w:jc w:val="right"/>
              <w:rPr>
                <w:b/>
                <w:sz w:val="20"/>
              </w:rPr>
            </w:pPr>
            <w:r>
              <w:rPr>
                <w:b/>
                <w:sz w:val="20"/>
              </w:rPr>
              <w:t>100.0</w:t>
            </w:r>
          </w:p>
        </w:tc>
        <w:tc>
          <w:tcPr>
            <w:vAlign w:val="center"/>
          </w:tcPr>
          <w:p>
            <w:pPr>
              <w:bidi w:val="0"/>
              <w:spacing w:after="0" w:afterAutospacing="1"/>
              <w:jc w:val="right"/>
              <w:rPr>
                <w:b/>
                <w:sz w:val="20"/>
              </w:rPr>
            </w:pPr>
            <w:r>
              <w:rPr>
                <w:b/>
                <w:sz w:val="20"/>
              </w:rPr>
              <w:t>100.0</w:t>
            </w:r>
          </w:p>
        </w:tc>
        <w:tc>
          <w:tcPr>
            <w:vAlign w:val="center"/>
          </w:tcPr>
          <w:p>
            <w:pPr>
              <w:bidi w:val="0"/>
              <w:spacing w:after="0" w:afterAutospacing="1"/>
              <w:jc w:val="right"/>
              <w:rPr>
                <w:b/>
                <w:sz w:val="20"/>
              </w:rPr>
            </w:pPr>
            <w:r>
              <w:rPr>
                <w:b/>
                <w:sz w:val="20"/>
              </w:rPr>
              <w:t>+3</w:t>
            </w:r>
          </w:p>
        </w:tc>
      </w:tr>
    </w:tbl>
    <w:p>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pPr>
        <w:bidi w:val="0"/>
        <w:spacing w:after="280" w:afterAutospacing="1"/>
      </w:pPr>
      <w:r>
        <w:rPr>
          <w:rtl w:val="0"/>
        </w:rPr>
        <w:t>Analysis of the monthly housing loan repayments of households in Greenmount compared to Shire of Mundaring shows that there was a smaller proportion of households paying high mortgage repayments ($2,600 per month or more), and a larger proportion of households with low mortgage repayments (less than $1,200 per month).</w:t>
      </w:r>
    </w:p>
    <w:p>
      <w:pPr>
        <w:bidi w:val="0"/>
        <w:spacing w:after="280" w:afterAutospacing="1"/>
        <w:rPr>
          <w:rtl w:val="0"/>
        </w:rPr>
      </w:pPr>
      <w:r>
        <w:rPr>
          <w:rtl w:val="0"/>
        </w:rPr>
        <w:t>Overall, 14.7% of households were paying high mortgage repayments, and 21.2% were paying low repayments, compared with 23.9% and 18.7% respectively in Shire of Mundaring.</w:t>
      </w:r>
    </w:p>
    <w:p>
      <w:pPr>
        <w:bidi w:val="0"/>
        <w:spacing w:after="280" w:afterAutospacing="1"/>
        <w:rPr>
          <w:rtl w:val="0"/>
        </w:rPr>
      </w:pPr>
      <w:r>
        <w:rPr>
          <w:rtl w:val="0"/>
        </w:rPr>
        <w:t>The major differences between the household loan repayments of Greenmount and Shire of Mundaring were:</w:t>
      </w:r>
    </w:p>
    <w:p>
      <w:pPr>
        <w:numPr>
          <w:ilvl w:val="0"/>
          <w:numId w:val="1"/>
        </w:numPr>
        <w:bidi w:val="0"/>
        <w:spacing w:after="0" w:afterAutospacing="0"/>
        <w:rPr>
          <w:rtl w:val="0"/>
        </w:rPr>
      </w:pPr>
      <w:r>
        <w:rPr>
          <w:rtl w:val="0"/>
        </w:rPr>
        <w:t xml:space="preserve">A </w:t>
      </w:r>
      <w:r>
        <w:rPr>
          <w:i/>
          <w:iCs/>
          <w:rtl w:val="0"/>
        </w:rPr>
        <w:t>larger</w:t>
      </w:r>
      <w:r>
        <w:rPr>
          <w:rtl w:val="0"/>
        </w:rPr>
        <w:t xml:space="preserve"> percentage of $1,800 - $1,999 (10.6% compared to 7.1%)</w:t>
      </w:r>
    </w:p>
    <w:p>
      <w:pPr>
        <w:numPr>
          <w:ilvl w:val="0"/>
          <w:numId w:val="1"/>
        </w:numPr>
        <w:bidi w:val="0"/>
        <w:spacing w:after="0" w:afterAutospacing="0"/>
        <w:ind w:left="720"/>
        <w:rPr>
          <w:rtl w:val="0"/>
        </w:rPr>
      </w:pPr>
      <w:r>
        <w:rPr>
          <w:rtl w:val="0"/>
        </w:rPr>
        <w:t xml:space="preserve">A </w:t>
      </w:r>
      <w:r>
        <w:rPr>
          <w:i/>
          <w:iCs/>
          <w:rtl w:val="0"/>
        </w:rPr>
        <w:t>larger</w:t>
      </w:r>
      <w:r>
        <w:rPr>
          <w:rtl w:val="0"/>
        </w:rPr>
        <w:t xml:space="preserve"> percentage of $1,400 - $1,599 (10.2% compared to 7.2%)</w:t>
      </w:r>
    </w:p>
    <w:p>
      <w:pPr>
        <w:numPr>
          <w:ilvl w:val="0"/>
          <w:numId w:val="1"/>
        </w:numPr>
        <w:bidi w:val="0"/>
        <w:spacing w:after="0" w:afterAutospacing="0"/>
        <w:ind w:left="720"/>
        <w:rPr>
          <w:rtl w:val="0"/>
        </w:rPr>
      </w:pPr>
      <w:r>
        <w:rPr>
          <w:rtl w:val="0"/>
        </w:rPr>
        <w:t xml:space="preserve">A </w:t>
      </w:r>
      <w:r>
        <w:rPr>
          <w:i/>
          <w:iCs/>
          <w:rtl w:val="0"/>
        </w:rPr>
        <w:t>larger</w:t>
      </w:r>
      <w:r>
        <w:rPr>
          <w:rtl w:val="0"/>
        </w:rPr>
        <w:t xml:space="preserve"> percentage of $1,600-$1,799 (12.2% compared to 9.2%)</w:t>
      </w:r>
    </w:p>
    <w:p>
      <w:pPr>
        <w:numPr>
          <w:ilvl w:val="0"/>
          <w:numId w:val="1"/>
        </w:numPr>
        <w:bidi w:val="0"/>
        <w:spacing w:after="280" w:afterAutospacing="1"/>
        <w:ind w:left="720"/>
        <w:rPr>
          <w:rtl w:val="0"/>
        </w:rPr>
      </w:pPr>
      <w:r>
        <w:rPr>
          <w:rtl w:val="0"/>
        </w:rPr>
        <w:t xml:space="preserve">A </w:t>
      </w:r>
      <w:r>
        <w:rPr>
          <w:i/>
          <w:iCs/>
          <w:rtl w:val="0"/>
        </w:rPr>
        <w:t>smaller</w:t>
      </w:r>
      <w:r>
        <w:rPr>
          <w:rtl w:val="0"/>
        </w:rPr>
        <w:t xml:space="preserve"> percentage of $2,600-$2,999 (5.0% compared to 8.1%)</w:t>
      </w:r>
    </w:p>
    <w:p>
      <w:pPr>
        <w:bidi w:val="0"/>
        <w:spacing w:after="280" w:afterAutospacing="1"/>
      </w:pPr>
    </w:p>
    <w:sectPr w:rsidSect="001A677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