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Moreton Bay</w:t>
      </w:r>
    </w:p>
    <w:p w:rsidR="001A6775">
      <w:pPr>
        <w:pStyle w:val="Heading4"/>
        <w:bidi w:val="0"/>
        <w:spacing w:after="280" w:afterAutospacing="1"/>
      </w:pPr>
      <w:r>
        <w:rPr>
          <w:rtl w:val="0"/>
        </w:rPr>
        <w:t>Individual income quartiles</w:t>
      </w:r>
    </w:p>
    <w:p w:rsidR="001A6775">
      <w:pPr>
        <w:bidi w:val="0"/>
        <w:spacing w:after="280" w:afterAutospacing="1"/>
      </w:pPr>
      <w:r>
        <w:rPr>
          <w:rtl w:val="0"/>
        </w:rPr>
        <w:t xml:space="preserve">Rural Planning Area's income statistics are an indicator of socio-economic status. With other data sources, such as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w:t>
      </w:r>
      <w:r>
        <w:rPr>
          <w:rtl w:val="0"/>
        </w:rPr>
        <w:fldChar w:fldCharType="begin"/>
      </w:r>
      <w:r>
        <w:rPr>
          <w:rtl w:val="0"/>
        </w:rPr>
        <w:instrText xml:space="preserve"> HYPERLINK "qualifications?[QS]" </w:instrText>
      </w:r>
      <w:r>
        <w:rPr>
          <w:rtl w:val="0"/>
        </w:rPr>
        <w:fldChar w:fldCharType="separate"/>
      </w:r>
      <w:r>
        <w:rPr>
          <w:color w:val="0000FF"/>
          <w:u w:val="single"/>
          <w:rtl w:val="0"/>
        </w:rPr>
        <w:t>Qualifications</w:t>
      </w:r>
      <w:r>
        <w:rPr>
          <w:rtl w:val="0"/>
        </w:rPr>
        <w:fldChar w:fldCharType="end"/>
      </w:r>
      <w:r>
        <w:rPr>
          <w:rtl w:val="0"/>
        </w:rPr>
        <w:t xml:space="preserve"> and </w:t>
      </w:r>
      <w:r>
        <w:rPr>
          <w:rtl w:val="0"/>
        </w:rPr>
        <w:fldChar w:fldCharType="begin"/>
      </w:r>
      <w:r>
        <w:rPr>
          <w:rtl w:val="0"/>
        </w:rPr>
        <w:instrText xml:space="preserve"> HYPERLINK "occupations?[QS]" </w:instrText>
      </w:r>
      <w:r>
        <w:rPr>
          <w:rtl w:val="0"/>
        </w:rPr>
        <w:fldChar w:fldCharType="separate"/>
      </w:r>
      <w:r>
        <w:rPr>
          <w:color w:val="0000FF"/>
          <w:u w:val="single"/>
          <w:rtl w:val="0"/>
        </w:rPr>
        <w:t>Occupation</w:t>
      </w:r>
      <w:r>
        <w:rPr>
          <w:rtl w:val="0"/>
        </w:rPr>
        <w:fldChar w:fldCharType="end"/>
      </w:r>
      <w:r>
        <w:rPr>
          <w:rtl w:val="0"/>
        </w:rPr>
        <w:t>, they help tell the story of the area's economic opportunities and socio-economic status. Individual income levels are not comparable over time because of the influences of economic change such as wage level fluctuations and inflation. The income quartile method is the most objective method of comparing change in the income profile of a community over time.</w:t>
      </w:r>
    </w:p>
    <w:p>
      <w:pPr>
        <w:bidi w:val="0"/>
        <w:spacing w:after="280" w:afterAutospacing="1"/>
      </w:pPr>
      <w:r>
        <w:rPr>
          <w:rtl w:val="0"/>
        </w:rPr>
        <w:t xml:space="preserve">A detailed explanation of how Individual Income quartiles are calculated and interpreted is available in </w:t>
      </w:r>
      <w:r>
        <w:rPr>
          <w:rtl w:val="0"/>
        </w:rPr>
        <w:fldChar w:fldCharType="begin"/>
      </w:r>
      <w:r>
        <w:rPr>
          <w:rtl w:val="0"/>
        </w:rPr>
        <w:instrText xml:space="preserve"> HYPERLINK "topic-notes?[QS]" \l "individual-income-quartiles" </w:instrText>
      </w:r>
      <w:r>
        <w:rPr>
          <w:rtl w:val="0"/>
        </w:rPr>
        <w:fldChar w:fldCharType="separate"/>
      </w:r>
      <w:r>
        <w:rPr>
          <w:color w:val="0000FF"/>
          <w:u w:val="single"/>
          <w:rtl w:val="0"/>
        </w:rPr>
        <w:t>specific data notes</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Individual income quartiles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Rural Planning Area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Quartile group</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Moreton Bay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Moreton Bay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right"/>
              <w:rPr>
                <w:b w:val="0"/>
                <w:sz w:val="20"/>
              </w:rPr>
            </w:pPr>
            <w:r>
              <w:rPr>
                <w:b w:val="0"/>
                <w:sz w:val="20"/>
              </w:rPr>
              <w:t>7,132</w:t>
            </w:r>
          </w:p>
        </w:tc>
        <w:tc>
          <w:tcPr>
            <w:vAlign w:val="center"/>
          </w:tcPr>
          <w:p w:rsidR="001A6775">
            <w:pPr>
              <w:bidi w:val="0"/>
              <w:spacing w:after="0" w:afterAutospacing="1"/>
              <w:jc w:val="right"/>
              <w:rPr>
                <w:b w:val="0"/>
                <w:sz w:val="20"/>
              </w:rPr>
            </w:pPr>
            <w:r>
              <w:rPr>
                <w:b w:val="0"/>
                <w:sz w:val="20"/>
              </w:rPr>
              <w:t>25.8</w:t>
            </w:r>
          </w:p>
        </w:tc>
        <w:tc>
          <w:tcPr>
            <w:vAlign w:val="center"/>
          </w:tcPr>
          <w:p w:rsidR="001A6775">
            <w:pPr>
              <w:bidi w:val="0"/>
              <w:spacing w:after="0" w:afterAutospacing="1"/>
              <w:jc w:val="right"/>
              <w:rPr>
                <w:b w:val="0"/>
                <w:sz w:val="20"/>
              </w:rPr>
            </w:pPr>
            <w:r>
              <w:rPr>
                <w:b w:val="0"/>
                <w:sz w:val="20"/>
              </w:rPr>
              <w:t>25.5</w:t>
            </w:r>
          </w:p>
        </w:tc>
        <w:tc>
          <w:tcPr>
            <w:vAlign w:val="center"/>
          </w:tcPr>
          <w:p w:rsidR="001A6775">
            <w:pPr>
              <w:bidi w:val="0"/>
              <w:spacing w:after="0" w:afterAutospacing="1"/>
              <w:jc w:val="right"/>
              <w:rPr>
                <w:b w:val="0"/>
                <w:sz w:val="20"/>
              </w:rPr>
            </w:pPr>
            <w:r>
              <w:rPr>
                <w:b w:val="0"/>
                <w:sz w:val="20"/>
              </w:rPr>
              <w:t>6,262</w:t>
            </w:r>
          </w:p>
        </w:tc>
        <w:tc>
          <w:tcPr>
            <w:vAlign w:val="center"/>
          </w:tcPr>
          <w:p w:rsidR="001A6775">
            <w:pPr>
              <w:bidi w:val="0"/>
              <w:spacing w:after="0" w:afterAutospacing="1"/>
              <w:jc w:val="right"/>
              <w:rPr>
                <w:b w:val="0"/>
                <w:sz w:val="20"/>
              </w:rPr>
            </w:pPr>
            <w:r>
              <w:rPr>
                <w:b w:val="0"/>
                <w:sz w:val="20"/>
              </w:rPr>
              <w:t>25.3</w:t>
            </w:r>
          </w:p>
        </w:tc>
        <w:tc>
          <w:tcPr>
            <w:vAlign w:val="center"/>
          </w:tcPr>
          <w:p w:rsidR="001A6775">
            <w:pPr>
              <w:bidi w:val="0"/>
              <w:spacing w:after="0" w:afterAutospacing="1"/>
              <w:jc w:val="right"/>
              <w:rPr>
                <w:b w:val="0"/>
                <w:sz w:val="20"/>
              </w:rPr>
            </w:pPr>
            <w:r>
              <w:rPr>
                <w:b w:val="0"/>
                <w:sz w:val="20"/>
              </w:rPr>
              <w:t>24.9</w:t>
            </w:r>
          </w:p>
        </w:tc>
        <w:tc>
          <w:tcPr>
            <w:vAlign w:val="center"/>
          </w:tcPr>
          <w:p w:rsidR="001A6775">
            <w:pPr>
              <w:bidi w:val="0"/>
              <w:spacing w:after="0" w:afterAutospacing="1"/>
              <w:jc w:val="right"/>
              <w:rPr>
                <w:b w:val="0"/>
                <w:sz w:val="20"/>
              </w:rPr>
            </w:pPr>
            <w:r>
              <w:rPr>
                <w:b w:val="0"/>
                <w:sz w:val="20"/>
              </w:rPr>
              <w:t>+870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right"/>
              <w:rPr>
                <w:b w:val="0"/>
                <w:sz w:val="20"/>
              </w:rPr>
            </w:pPr>
            <w:r>
              <w:rPr>
                <w:b w:val="0"/>
                <w:sz w:val="20"/>
              </w:rPr>
              <w:t>5,950</w:t>
            </w:r>
          </w:p>
        </w:tc>
        <w:tc>
          <w:tcPr>
            <w:vAlign w:val="center"/>
          </w:tcPr>
          <w:p w:rsidR="001A6775">
            <w:pPr>
              <w:bidi w:val="0"/>
              <w:spacing w:after="0" w:afterAutospacing="1"/>
              <w:jc w:val="right"/>
              <w:rPr>
                <w:b w:val="0"/>
                <w:sz w:val="20"/>
              </w:rPr>
            </w:pPr>
            <w:r>
              <w:rPr>
                <w:b w:val="0"/>
                <w:sz w:val="20"/>
              </w:rPr>
              <w:t>21.5</w:t>
            </w:r>
          </w:p>
        </w:tc>
        <w:tc>
          <w:tcPr>
            <w:vAlign w:val="center"/>
          </w:tcPr>
          <w:p w:rsidR="001A6775">
            <w:pPr>
              <w:bidi w:val="0"/>
              <w:spacing w:after="0" w:afterAutospacing="1"/>
              <w:jc w:val="right"/>
              <w:rPr>
                <w:b w:val="0"/>
                <w:sz w:val="20"/>
              </w:rPr>
            </w:pPr>
            <w:r>
              <w:rPr>
                <w:b w:val="0"/>
                <w:sz w:val="20"/>
              </w:rPr>
              <w:t>25.9</w:t>
            </w:r>
          </w:p>
        </w:tc>
        <w:tc>
          <w:tcPr>
            <w:vAlign w:val="center"/>
          </w:tcPr>
          <w:p w:rsidR="001A6775">
            <w:pPr>
              <w:bidi w:val="0"/>
              <w:spacing w:after="0" w:afterAutospacing="1"/>
              <w:jc w:val="right"/>
              <w:rPr>
                <w:b w:val="0"/>
                <w:sz w:val="20"/>
              </w:rPr>
            </w:pPr>
            <w:r>
              <w:rPr>
                <w:b w:val="0"/>
                <w:sz w:val="20"/>
              </w:rPr>
              <w:t>5,309</w:t>
            </w:r>
          </w:p>
        </w:tc>
        <w:tc>
          <w:tcPr>
            <w:vAlign w:val="center"/>
          </w:tcPr>
          <w:p w:rsidR="001A6775">
            <w:pPr>
              <w:bidi w:val="0"/>
              <w:spacing w:after="0" w:afterAutospacing="1"/>
              <w:jc w:val="right"/>
              <w:rPr>
                <w:b w:val="0"/>
                <w:sz w:val="20"/>
              </w:rPr>
            </w:pPr>
            <w:r>
              <w:rPr>
                <w:b w:val="0"/>
                <w:sz w:val="20"/>
              </w:rPr>
              <w:t>21.4</w:t>
            </w:r>
          </w:p>
        </w:tc>
        <w:tc>
          <w:tcPr>
            <w:vAlign w:val="center"/>
          </w:tcPr>
          <w:p w:rsidR="001A6775">
            <w:pPr>
              <w:bidi w:val="0"/>
              <w:spacing w:after="0" w:afterAutospacing="1"/>
              <w:jc w:val="right"/>
              <w:rPr>
                <w:b w:val="0"/>
                <w:sz w:val="20"/>
              </w:rPr>
            </w:pPr>
            <w:r>
              <w:rPr>
                <w:b w:val="0"/>
                <w:sz w:val="20"/>
              </w:rPr>
              <w:t>25.6</w:t>
            </w:r>
          </w:p>
        </w:tc>
        <w:tc>
          <w:tcPr>
            <w:vAlign w:val="center"/>
          </w:tcPr>
          <w:p w:rsidR="001A6775">
            <w:pPr>
              <w:bidi w:val="0"/>
              <w:spacing w:after="0" w:afterAutospacing="1"/>
              <w:jc w:val="right"/>
              <w:rPr>
                <w:b w:val="0"/>
                <w:sz w:val="20"/>
              </w:rPr>
            </w:pPr>
            <w:r>
              <w:rPr>
                <w:b w:val="0"/>
                <w:sz w:val="20"/>
              </w:rPr>
              <w:t>+641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right"/>
              <w:rPr>
                <w:b w:val="0"/>
                <w:sz w:val="20"/>
              </w:rPr>
            </w:pPr>
            <w:r>
              <w:rPr>
                <w:b w:val="0"/>
                <w:sz w:val="20"/>
              </w:rPr>
              <w:t>6,047</w:t>
            </w:r>
          </w:p>
        </w:tc>
        <w:tc>
          <w:tcPr>
            <w:vAlign w:val="center"/>
          </w:tcPr>
          <w:p w:rsidR="001A6775">
            <w:pPr>
              <w:bidi w:val="0"/>
              <w:spacing w:after="0" w:afterAutospacing="1"/>
              <w:jc w:val="right"/>
              <w:rPr>
                <w:b w:val="0"/>
                <w:sz w:val="20"/>
              </w:rPr>
            </w:pPr>
            <w:r>
              <w:rPr>
                <w:b w:val="0"/>
                <w:sz w:val="20"/>
              </w:rPr>
              <w:t>21.9</w:t>
            </w:r>
          </w:p>
        </w:tc>
        <w:tc>
          <w:tcPr>
            <w:vAlign w:val="center"/>
          </w:tcPr>
          <w:p w:rsidR="001A6775">
            <w:pPr>
              <w:bidi w:val="0"/>
              <w:spacing w:after="0" w:afterAutospacing="1"/>
              <w:jc w:val="right"/>
              <w:rPr>
                <w:b w:val="0"/>
                <w:sz w:val="20"/>
              </w:rPr>
            </w:pPr>
            <w:r>
              <w:rPr>
                <w:b w:val="0"/>
                <w:sz w:val="20"/>
              </w:rPr>
              <w:t>25.7</w:t>
            </w:r>
          </w:p>
        </w:tc>
        <w:tc>
          <w:tcPr>
            <w:vAlign w:val="center"/>
          </w:tcPr>
          <w:p w:rsidR="001A6775">
            <w:pPr>
              <w:bidi w:val="0"/>
              <w:spacing w:after="0" w:afterAutospacing="1"/>
              <w:jc w:val="right"/>
              <w:rPr>
                <w:b w:val="0"/>
                <w:sz w:val="20"/>
              </w:rPr>
            </w:pPr>
            <w:r>
              <w:rPr>
                <w:b w:val="0"/>
                <w:sz w:val="20"/>
              </w:rPr>
              <w:t>5,573</w:t>
            </w:r>
          </w:p>
        </w:tc>
        <w:tc>
          <w:tcPr>
            <w:vAlign w:val="center"/>
          </w:tcPr>
          <w:p w:rsidR="001A6775">
            <w:pPr>
              <w:bidi w:val="0"/>
              <w:spacing w:after="0" w:afterAutospacing="1"/>
              <w:jc w:val="right"/>
              <w:rPr>
                <w:b w:val="0"/>
                <w:sz w:val="20"/>
              </w:rPr>
            </w:pPr>
            <w:r>
              <w:rPr>
                <w:b w:val="0"/>
                <w:sz w:val="20"/>
              </w:rPr>
              <w:t>22.5</w:t>
            </w:r>
          </w:p>
        </w:tc>
        <w:tc>
          <w:tcPr>
            <w:vAlign w:val="center"/>
          </w:tcPr>
          <w:p w:rsidR="001A6775">
            <w:pPr>
              <w:bidi w:val="0"/>
              <w:spacing w:after="0" w:afterAutospacing="1"/>
              <w:jc w:val="right"/>
              <w:rPr>
                <w:b w:val="0"/>
                <w:sz w:val="20"/>
              </w:rPr>
            </w:pPr>
            <w:r>
              <w:rPr>
                <w:b w:val="0"/>
                <w:sz w:val="20"/>
              </w:rPr>
              <w:t>26.0</w:t>
            </w:r>
          </w:p>
        </w:tc>
        <w:tc>
          <w:tcPr>
            <w:vAlign w:val="center"/>
          </w:tcPr>
          <w:p w:rsidR="001A6775">
            <w:pPr>
              <w:bidi w:val="0"/>
              <w:spacing w:after="0" w:afterAutospacing="1"/>
              <w:jc w:val="right"/>
              <w:rPr>
                <w:b w:val="0"/>
                <w:sz w:val="20"/>
              </w:rPr>
            </w:pPr>
            <w:r>
              <w:rPr>
                <w:b w:val="0"/>
                <w:sz w:val="20"/>
              </w:rPr>
              <w:t>+474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right"/>
              <w:rPr>
                <w:b w:val="0"/>
                <w:sz w:val="20"/>
              </w:rPr>
            </w:pPr>
            <w:r>
              <w:rPr>
                <w:b w:val="0"/>
                <w:sz w:val="20"/>
              </w:rPr>
              <w:t>8,534</w:t>
            </w:r>
          </w:p>
        </w:tc>
        <w:tc>
          <w:tcPr>
            <w:vAlign w:val="center"/>
          </w:tcPr>
          <w:p w:rsidR="001A6775">
            <w:pPr>
              <w:bidi w:val="0"/>
              <w:spacing w:after="0" w:afterAutospacing="1"/>
              <w:jc w:val="right"/>
              <w:rPr>
                <w:b w:val="0"/>
                <w:sz w:val="20"/>
              </w:rPr>
            </w:pPr>
            <w:r>
              <w:rPr>
                <w:b w:val="0"/>
                <w:sz w:val="20"/>
              </w:rPr>
              <w:t>30.9</w:t>
            </w:r>
          </w:p>
        </w:tc>
        <w:tc>
          <w:tcPr>
            <w:vAlign w:val="center"/>
          </w:tcPr>
          <w:p w:rsidR="001A6775">
            <w:pPr>
              <w:bidi w:val="0"/>
              <w:spacing w:after="0" w:afterAutospacing="1"/>
              <w:jc w:val="right"/>
              <w:rPr>
                <w:b w:val="0"/>
                <w:sz w:val="20"/>
              </w:rPr>
            </w:pPr>
            <w:r>
              <w:rPr>
                <w:b w:val="0"/>
                <w:sz w:val="20"/>
              </w:rPr>
              <w:t>22.9</w:t>
            </w:r>
          </w:p>
        </w:tc>
        <w:tc>
          <w:tcPr>
            <w:vAlign w:val="center"/>
          </w:tcPr>
          <w:p w:rsidR="001A6775">
            <w:pPr>
              <w:bidi w:val="0"/>
              <w:spacing w:after="0" w:afterAutospacing="1"/>
              <w:jc w:val="right"/>
              <w:rPr>
                <w:b w:val="0"/>
                <w:sz w:val="20"/>
              </w:rPr>
            </w:pPr>
            <w:r>
              <w:rPr>
                <w:b w:val="0"/>
                <w:sz w:val="20"/>
              </w:rPr>
              <w:t>7,620</w:t>
            </w:r>
          </w:p>
        </w:tc>
        <w:tc>
          <w:tcPr>
            <w:vAlign w:val="center"/>
          </w:tcPr>
          <w:p w:rsidR="001A6775">
            <w:pPr>
              <w:bidi w:val="0"/>
              <w:spacing w:after="0" w:afterAutospacing="1"/>
              <w:jc w:val="right"/>
              <w:rPr>
                <w:b w:val="0"/>
                <w:sz w:val="20"/>
              </w:rPr>
            </w:pPr>
            <w:r>
              <w:rPr>
                <w:b w:val="0"/>
                <w:sz w:val="20"/>
              </w:rPr>
              <w:t>30.8</w:t>
            </w:r>
          </w:p>
        </w:tc>
        <w:tc>
          <w:tcPr>
            <w:vAlign w:val="center"/>
          </w:tcPr>
          <w:p w:rsidR="001A6775">
            <w:pPr>
              <w:bidi w:val="0"/>
              <w:spacing w:after="0" w:afterAutospacing="1"/>
              <w:jc w:val="right"/>
              <w:rPr>
                <w:b w:val="0"/>
                <w:sz w:val="20"/>
              </w:rPr>
            </w:pPr>
            <w:r>
              <w:rPr>
                <w:b w:val="0"/>
                <w:sz w:val="20"/>
              </w:rPr>
              <w:t>23.5</w:t>
            </w:r>
          </w:p>
        </w:tc>
        <w:tc>
          <w:tcPr>
            <w:vAlign w:val="center"/>
          </w:tcPr>
          <w:p w:rsidR="001A6775">
            <w:pPr>
              <w:bidi w:val="0"/>
              <w:spacing w:after="0" w:afterAutospacing="1"/>
              <w:jc w:val="right"/>
              <w:rPr>
                <w:b w:val="0"/>
                <w:sz w:val="20"/>
              </w:rPr>
            </w:pPr>
            <w:r>
              <w:rPr>
                <w:b w:val="0"/>
                <w:sz w:val="20"/>
              </w:rPr>
              <w:t>+914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27,665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24,766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+2,899</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Individual income - Quartile group dollar ranges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Calculated from income data for  [theQBMQuartile] - Total persons aged 15+</w:t>
            </w:r>
          </w:p>
        </w:tc>
        <w:tc>
          <w:tcPr>
            <w:hMerge w:val="restart"/>
          </w:tcPr>
          <w:p w:rsidR="001A6775">
            <w:pPr>
              <w:bidi w:val="0"/>
              <w:spacing w:after="0" w:afterAutospacing="1"/>
              <w:jc w:val="center"/>
              <w:rPr>
                <w:b/>
                <w:sz w:val="20"/>
              </w:rPr>
            </w:pPr>
            <w:r>
              <w:rPr>
                <w:b/>
                <w:sz w:val="30"/>
              </w:rPr>
              <w:t>Weekly income by Census year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Individual quartile ranges</w:t>
            </w:r>
          </w:p>
        </w:tc>
        <w:tc>
          <w:tcPr>
            <w:vAlign w:val="center"/>
          </w:tcPr>
          <w:p w:rsidR="001A6775">
            <w:pPr>
              <w:bidi w:val="0"/>
              <w:spacing w:after="0" w:afterAutospacing="1"/>
              <w:jc w:val="right"/>
              <w:rPr>
                <w:b/>
                <w:sz w:val="20"/>
              </w:rPr>
            </w:pPr>
            <w:r>
              <w:rPr>
                <w:b/>
                <w:sz w:val="20"/>
              </w:rPr>
              <w:t>2021</w:t>
            </w:r>
          </w:p>
        </w:tc>
        <w:tc>
          <w:tcPr>
            <w:vAlign w:val="center"/>
          </w:tcPr>
          <w:p w:rsidR="001A6775">
            <w:pPr>
              <w:bidi w:val="0"/>
              <w:spacing w:after="0" w:afterAutospacing="1"/>
              <w:jc w:val="right"/>
              <w:rPr>
                <w:b/>
                <w:sz w:val="20"/>
              </w:rPr>
            </w:pPr>
            <w:r>
              <w:rPr>
                <w:b/>
                <w:sz w:val="20"/>
              </w:rPr>
              <w:t>2016</w:t>
            </w:r>
          </w:p>
        </w:tc>
        <w:tc>
          <w:tcPr>
            <w:vAlign w:val="center"/>
          </w:tcPr>
          <w:p w:rsidR="001A6775">
            <w:pPr>
              <w:bidi w:val="0"/>
              <w:spacing w:after="0" w:afterAutospacing="1"/>
              <w:jc w:val="right"/>
              <w:rPr>
                <w:b/>
                <w:sz w:val="20"/>
              </w:rPr>
            </w:pPr>
            <w:r>
              <w:rPr>
                <w:b/>
                <w:sz w:val="20"/>
              </w:rPr>
              <w:t>2011</w:t>
            </w:r>
          </w:p>
        </w:tc>
        <w:tc>
          <w:tcPr>
            <w:vAlign w:val="center"/>
          </w:tcPr>
          <w:p w:rsidR="001A6775">
            <w:pPr>
              <w:bidi w:val="0"/>
              <w:spacing w:after="0" w:afterAutospacing="1"/>
              <w:jc w:val="right"/>
              <w:rPr>
                <w:b/>
                <w:sz w:val="20"/>
              </w:rPr>
            </w:pPr>
            <w:r>
              <w:rPr>
                <w:b/>
                <w:sz w:val="20"/>
              </w:rPr>
              <w:t>2006</w:t>
            </w:r>
          </w:p>
        </w:tc>
        <w:tc>
          <w:tcPr>
            <w:vAlign w:val="center"/>
          </w:tcPr>
          <w:p w:rsidR="001A6775">
            <w:pPr>
              <w:bidi w:val="0"/>
              <w:spacing w:after="0" w:afterAutospacing="1"/>
              <w:jc w:val="right"/>
              <w:rPr>
                <w:b/>
                <w:sz w:val="20"/>
              </w:rPr>
            </w:pPr>
            <w:r>
              <w:rPr>
                <w:b/>
                <w:sz w:val="20"/>
              </w:rPr>
              <w:t>2001</w:t>
            </w:r>
          </w:p>
        </w:tc>
        <w:tc>
          <w:tcPr>
            <w:vAlign w:val="center"/>
          </w:tcPr>
          <w:p w:rsidR="001A6775">
            <w:pPr>
              <w:bidi w:val="0"/>
              <w:spacing w:after="0" w:afterAutospacing="1"/>
              <w:jc w:val="right"/>
              <w:rPr>
                <w:b/>
                <w:sz w:val="20"/>
              </w:rPr>
            </w:pPr>
            <w:r>
              <w:rPr>
                <w:b/>
                <w:sz w:val="20"/>
              </w:rPr>
              <w:t>1996</w:t>
            </w:r>
          </w:p>
        </w:tc>
        <w:tc>
          <w:tcPr>
            <w:vAlign w:val="center"/>
          </w:tcPr>
          <w:p w:rsidR="001A6775">
            <w:pPr>
              <w:bidi w:val="0"/>
              <w:spacing w:after="0" w:afterAutospacing="1"/>
              <w:jc w:val="right"/>
              <w:rPr>
                <w:b/>
                <w:sz w:val="20"/>
              </w:rPr>
            </w:pPr>
            <w:r>
              <w:rPr>
                <w:b/>
                <w:sz w:val="20"/>
              </w:rPr>
              <w:t>1991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left"/>
              <w:rPr>
                <w:b w:val="0"/>
                <w:sz w:val="20"/>
              </w:rPr>
            </w:pPr>
            <w:r>
              <w:rPr>
                <w:b w:val="0"/>
                <w:sz w:val="20"/>
              </w:rPr>
              <w:t>$0 to $388</w:t>
            </w:r>
          </w:p>
        </w:tc>
        <w:tc>
          <w:tcPr>
            <w:vAlign w:val="center"/>
          </w:tcPr>
          <w:p w:rsidR="001A6775">
            <w:pPr>
              <w:bidi w:val="0"/>
              <w:spacing w:after="0" w:afterAutospacing="1"/>
              <w:jc w:val="left"/>
              <w:rPr>
                <w:b w:val="0"/>
                <w:sz w:val="20"/>
              </w:rPr>
            </w:pPr>
            <w:r>
              <w:rPr>
                <w:b w:val="0"/>
                <w:sz w:val="20"/>
              </w:rPr>
              <w:t>$0 to $333</w:t>
            </w:r>
          </w:p>
        </w:tc>
        <w:tc>
          <w:tcPr>
            <w:vAlign w:val="center"/>
          </w:tcPr>
          <w:p w:rsidR="001A6775">
            <w:pPr>
              <w:bidi w:val="0"/>
              <w:spacing w:after="0" w:afterAutospacing="1"/>
              <w:jc w:val="left"/>
              <w:rPr>
                <w:b w:val="0"/>
                <w:sz w:val="20"/>
              </w:rPr>
            </w:pPr>
            <w:r>
              <w:rPr>
                <w:b w:val="0"/>
                <w:sz w:val="20"/>
              </w:rPr>
              <w:t>$0 to $281</w:t>
            </w:r>
          </w:p>
        </w:tc>
        <w:tc>
          <w:tcPr>
            <w:vAlign w:val="center"/>
          </w:tcPr>
          <w:p w:rsidR="001A6775">
            <w:pPr>
              <w:bidi w:val="0"/>
              <w:spacing w:after="0" w:afterAutospacing="1"/>
              <w:jc w:val="left"/>
              <w:rPr>
                <w:b w:val="0"/>
                <w:sz w:val="20"/>
              </w:rPr>
            </w:pPr>
            <w:r>
              <w:rPr>
                <w:b w:val="0"/>
                <w:sz w:val="20"/>
              </w:rPr>
              <w:t>$0 to $221</w:t>
            </w:r>
          </w:p>
        </w:tc>
        <w:tc>
          <w:tcPr>
            <w:vAlign w:val="center"/>
          </w:tcPr>
          <w:p w:rsidR="001A6775">
            <w:pPr>
              <w:bidi w:val="0"/>
              <w:spacing w:after="0" w:afterAutospacing="1"/>
              <w:jc w:val="left"/>
              <w:rPr>
                <w:b w:val="0"/>
                <w:sz w:val="20"/>
              </w:rPr>
            </w:pPr>
            <w:r>
              <w:rPr>
                <w:b w:val="0"/>
                <w:sz w:val="20"/>
              </w:rPr>
              <w:t>$0 to $182</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left"/>
              <w:rPr>
                <w:b w:val="0"/>
                <w:sz w:val="20"/>
              </w:rPr>
            </w:pPr>
            <w:r>
              <w:rPr>
                <w:b w:val="0"/>
                <w:sz w:val="20"/>
              </w:rPr>
              <w:t>$389 to $787</w:t>
            </w:r>
          </w:p>
        </w:tc>
        <w:tc>
          <w:tcPr>
            <w:vAlign w:val="center"/>
          </w:tcPr>
          <w:p w:rsidR="001A6775">
            <w:pPr>
              <w:bidi w:val="0"/>
              <w:spacing w:after="0" w:afterAutospacing="1"/>
              <w:jc w:val="left"/>
              <w:rPr>
                <w:b w:val="0"/>
                <w:sz w:val="20"/>
              </w:rPr>
            </w:pPr>
            <w:r>
              <w:rPr>
                <w:b w:val="0"/>
                <w:sz w:val="20"/>
              </w:rPr>
              <w:t>$334 to $660</w:t>
            </w:r>
          </w:p>
        </w:tc>
        <w:tc>
          <w:tcPr>
            <w:vAlign w:val="center"/>
          </w:tcPr>
          <w:p w:rsidR="001A6775">
            <w:pPr>
              <w:bidi w:val="0"/>
              <w:spacing w:after="0" w:afterAutospacing="1"/>
              <w:jc w:val="left"/>
              <w:rPr>
                <w:b w:val="0"/>
                <w:sz w:val="20"/>
              </w:rPr>
            </w:pPr>
            <w:r>
              <w:rPr>
                <w:b w:val="0"/>
                <w:sz w:val="20"/>
              </w:rPr>
              <w:t>$282 to $585</w:t>
            </w:r>
          </w:p>
        </w:tc>
        <w:tc>
          <w:tcPr>
            <w:vAlign w:val="center"/>
          </w:tcPr>
          <w:p w:rsidR="001A6775">
            <w:pPr>
              <w:bidi w:val="0"/>
              <w:spacing w:after="0" w:afterAutospacing="1"/>
              <w:jc w:val="left"/>
              <w:rPr>
                <w:b w:val="0"/>
                <w:sz w:val="20"/>
              </w:rPr>
            </w:pPr>
            <w:r>
              <w:rPr>
                <w:b w:val="0"/>
                <w:sz w:val="20"/>
              </w:rPr>
              <w:t>$222 to $476</w:t>
            </w:r>
          </w:p>
        </w:tc>
        <w:tc>
          <w:tcPr>
            <w:vAlign w:val="center"/>
          </w:tcPr>
          <w:p w:rsidR="001A6775">
            <w:pPr>
              <w:bidi w:val="0"/>
              <w:spacing w:after="0" w:afterAutospacing="1"/>
              <w:jc w:val="left"/>
              <w:rPr>
                <w:b w:val="0"/>
                <w:sz w:val="20"/>
              </w:rPr>
            </w:pPr>
            <w:r>
              <w:rPr>
                <w:b w:val="0"/>
                <w:sz w:val="20"/>
              </w:rPr>
              <w:t>$183 to $361</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left"/>
              <w:rPr>
                <w:b w:val="0"/>
                <w:sz w:val="20"/>
              </w:rPr>
            </w:pPr>
            <w:r>
              <w:rPr>
                <w:b w:val="0"/>
                <w:sz w:val="20"/>
              </w:rPr>
              <w:t>$788 to $1,424</w:t>
            </w:r>
          </w:p>
        </w:tc>
        <w:tc>
          <w:tcPr>
            <w:vAlign w:val="center"/>
          </w:tcPr>
          <w:p w:rsidR="001A6775">
            <w:pPr>
              <w:bidi w:val="0"/>
              <w:spacing w:after="0" w:afterAutospacing="1"/>
              <w:jc w:val="left"/>
              <w:rPr>
                <w:b w:val="0"/>
                <w:sz w:val="20"/>
              </w:rPr>
            </w:pPr>
            <w:r>
              <w:rPr>
                <w:b w:val="0"/>
                <w:sz w:val="20"/>
              </w:rPr>
              <w:t>$661 to $1,195</w:t>
            </w:r>
          </w:p>
        </w:tc>
        <w:tc>
          <w:tcPr>
            <w:vAlign w:val="center"/>
          </w:tcPr>
          <w:p w:rsidR="001A6775">
            <w:pPr>
              <w:bidi w:val="0"/>
              <w:spacing w:after="0" w:afterAutospacing="1"/>
              <w:jc w:val="left"/>
              <w:rPr>
                <w:b w:val="0"/>
                <w:sz w:val="20"/>
              </w:rPr>
            </w:pPr>
            <w:r>
              <w:rPr>
                <w:b w:val="0"/>
                <w:sz w:val="20"/>
              </w:rPr>
              <w:t>$586 to $1,077</w:t>
            </w:r>
          </w:p>
        </w:tc>
        <w:tc>
          <w:tcPr>
            <w:vAlign w:val="center"/>
          </w:tcPr>
          <w:p w:rsidR="001A6775">
            <w:pPr>
              <w:bidi w:val="0"/>
              <w:spacing w:after="0" w:afterAutospacing="1"/>
              <w:jc w:val="left"/>
              <w:rPr>
                <w:b w:val="0"/>
                <w:sz w:val="20"/>
              </w:rPr>
            </w:pPr>
            <w:r>
              <w:rPr>
                <w:b w:val="0"/>
                <w:sz w:val="20"/>
              </w:rPr>
              <w:t>$477 to $853</w:t>
            </w:r>
          </w:p>
        </w:tc>
        <w:tc>
          <w:tcPr>
            <w:vAlign w:val="center"/>
          </w:tcPr>
          <w:p w:rsidR="001A6775">
            <w:pPr>
              <w:bidi w:val="0"/>
              <w:spacing w:after="0" w:afterAutospacing="1"/>
              <w:jc w:val="left"/>
              <w:rPr>
                <w:b w:val="0"/>
                <w:sz w:val="20"/>
              </w:rPr>
            </w:pPr>
            <w:r>
              <w:rPr>
                <w:b w:val="0"/>
                <w:sz w:val="20"/>
              </w:rPr>
              <w:t>$362 to $641</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left"/>
              <w:rPr>
                <w:b w:val="0"/>
                <w:sz w:val="20"/>
              </w:rPr>
            </w:pPr>
            <w:r>
              <w:rPr>
                <w:b w:val="0"/>
                <w:sz w:val="20"/>
              </w:rPr>
              <w:t>$1,425 and over</w:t>
            </w:r>
          </w:p>
        </w:tc>
        <w:tc>
          <w:tcPr>
            <w:vAlign w:val="center"/>
          </w:tcPr>
          <w:p w:rsidR="001A6775">
            <w:pPr>
              <w:bidi w:val="0"/>
              <w:spacing w:after="0" w:afterAutospacing="1"/>
              <w:jc w:val="left"/>
              <w:rPr>
                <w:b w:val="0"/>
                <w:sz w:val="20"/>
              </w:rPr>
            </w:pPr>
            <w:r>
              <w:rPr>
                <w:b w:val="0"/>
                <w:sz w:val="20"/>
              </w:rPr>
              <w:t>$1,196 and over</w:t>
            </w:r>
          </w:p>
        </w:tc>
        <w:tc>
          <w:tcPr>
            <w:vAlign w:val="center"/>
          </w:tcPr>
          <w:p w:rsidR="001A6775">
            <w:pPr>
              <w:bidi w:val="0"/>
              <w:spacing w:after="0" w:afterAutospacing="1"/>
              <w:jc w:val="left"/>
              <w:rPr>
                <w:b w:val="0"/>
                <w:sz w:val="20"/>
              </w:rPr>
            </w:pPr>
            <w:r>
              <w:rPr>
                <w:b w:val="0"/>
                <w:sz w:val="20"/>
              </w:rPr>
              <w:t>$1,078 and over</w:t>
            </w:r>
          </w:p>
        </w:tc>
        <w:tc>
          <w:tcPr>
            <w:vAlign w:val="center"/>
          </w:tcPr>
          <w:p w:rsidR="001A6775">
            <w:pPr>
              <w:bidi w:val="0"/>
              <w:spacing w:after="0" w:afterAutospacing="1"/>
              <w:jc w:val="left"/>
              <w:rPr>
                <w:b w:val="0"/>
                <w:sz w:val="20"/>
              </w:rPr>
            </w:pPr>
            <w:r>
              <w:rPr>
                <w:b w:val="0"/>
                <w:sz w:val="20"/>
              </w:rPr>
              <w:t>$854 and over</w:t>
            </w:r>
          </w:p>
        </w:tc>
        <w:tc>
          <w:tcPr>
            <w:vAlign w:val="center"/>
          </w:tcPr>
          <w:p w:rsidR="001A6775">
            <w:pPr>
              <w:bidi w:val="0"/>
              <w:spacing w:after="0" w:afterAutospacing="1"/>
              <w:jc w:val="left"/>
              <w:rPr>
                <w:b w:val="0"/>
                <w:sz w:val="20"/>
              </w:rPr>
            </w:pPr>
            <w:r>
              <w:rPr>
                <w:b w:val="0"/>
                <w:sz w:val="20"/>
              </w:rPr>
              <w:t>$642 and over</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Income quartiles allow us to compare relative income-earning capabilities across time. Analysis of the distribution of the population by income quartile in Rural Planning Area compared to City of Moreton Bay shows that there was greater proportion of persons in the highest income quartile and a similar proportion in the lowest income quartile.</w:t>
      </w:r>
    </w:p>
    <w:p w:rsidR="001A6775">
      <w:pPr>
        <w:bidi w:val="0"/>
        <w:spacing w:after="280" w:afterAutospacing="1"/>
      </w:pPr>
      <w:r>
        <w:rPr>
          <w:rtl w:val="0"/>
        </w:rPr>
        <w:t>The most significant change in Rural Planning Area in persons between 2016 and 2021 was in the highest quartile which showed an increase of 914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