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Brunswick's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Brunswick's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Brunswick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2,321</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1,942</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12.2</w:t>
            </w:r>
          </w:p>
        </w:tc>
        <w:tc>
          <w:tcPr>
            <w:vAlign w:val="center"/>
          </w:tcPr>
          <w:p w:rsidR="001A6775">
            <w:pPr>
              <w:bidi w:val="0"/>
              <w:spacing w:after="0" w:afterAutospacing="1"/>
              <w:jc w:val="right"/>
              <w:rPr>
                <w:b w:val="0"/>
                <w:sz w:val="20"/>
              </w:rPr>
            </w:pPr>
            <w:r>
              <w:rPr>
                <w:b w:val="0"/>
                <w:sz w:val="20"/>
              </w:rPr>
              <w:t>+378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7,034</w:t>
            </w:r>
          </w:p>
        </w:tc>
        <w:tc>
          <w:tcPr>
            <w:vAlign w:val="center"/>
          </w:tcPr>
          <w:p w:rsidR="001A6775">
            <w:pPr>
              <w:bidi w:val="0"/>
              <w:spacing w:after="0" w:afterAutospacing="1"/>
              <w:jc w:val="right"/>
              <w:rPr>
                <w:b w:val="0"/>
                <w:sz w:val="20"/>
              </w:rPr>
            </w:pPr>
            <w:r>
              <w:rPr>
                <w:b w:val="0"/>
                <w:sz w:val="20"/>
              </w:rPr>
              <w:t>44.2</w:t>
            </w:r>
          </w:p>
        </w:tc>
        <w:tc>
          <w:tcPr>
            <w:vAlign w:val="center"/>
          </w:tcPr>
          <w:p w:rsidR="001A6775">
            <w:pPr>
              <w:bidi w:val="0"/>
              <w:spacing w:after="0" w:afterAutospacing="1"/>
              <w:jc w:val="right"/>
              <w:rPr>
                <w:b w:val="0"/>
                <w:sz w:val="20"/>
              </w:rPr>
            </w:pPr>
            <w:r>
              <w:rPr>
                <w:b w:val="0"/>
                <w:sz w:val="20"/>
              </w:rPr>
              <w:t>34.7</w:t>
            </w:r>
          </w:p>
        </w:tc>
        <w:tc>
          <w:tcPr>
            <w:vAlign w:val="center"/>
          </w:tcPr>
          <w:p w:rsidR="001A6775">
            <w:pPr>
              <w:bidi w:val="0"/>
              <w:spacing w:after="0" w:afterAutospacing="1"/>
              <w:jc w:val="right"/>
              <w:rPr>
                <w:b w:val="0"/>
                <w:sz w:val="20"/>
              </w:rPr>
            </w:pPr>
            <w:r>
              <w:rPr>
                <w:b w:val="0"/>
                <w:sz w:val="20"/>
              </w:rPr>
              <w:t>5,858</w:t>
            </w:r>
          </w:p>
        </w:tc>
        <w:tc>
          <w:tcPr>
            <w:vAlign w:val="center"/>
          </w:tcPr>
          <w:p w:rsidR="001A6775">
            <w:pPr>
              <w:bidi w:val="0"/>
              <w:spacing w:after="0" w:afterAutospacing="1"/>
              <w:jc w:val="right"/>
              <w:rPr>
                <w:b w:val="0"/>
                <w:sz w:val="20"/>
              </w:rPr>
            </w:pPr>
            <w:r>
              <w:rPr>
                <w:b w:val="0"/>
                <w:sz w:val="20"/>
              </w:rPr>
              <w:t>40.6</w:t>
            </w:r>
          </w:p>
        </w:tc>
        <w:tc>
          <w:tcPr>
            <w:vAlign w:val="center"/>
          </w:tcPr>
          <w:p w:rsidR="001A6775">
            <w:pPr>
              <w:bidi w:val="0"/>
              <w:spacing w:after="0" w:afterAutospacing="1"/>
              <w:jc w:val="right"/>
              <w:rPr>
                <w:b w:val="0"/>
                <w:sz w:val="20"/>
              </w:rPr>
            </w:pPr>
            <w:r>
              <w:rPr>
                <w:b w:val="0"/>
                <w:sz w:val="20"/>
              </w:rPr>
              <w:t>31.1</w:t>
            </w:r>
          </w:p>
        </w:tc>
        <w:tc>
          <w:tcPr>
            <w:vAlign w:val="center"/>
          </w:tcPr>
          <w:p w:rsidR="001A6775">
            <w:pPr>
              <w:bidi w:val="0"/>
              <w:spacing w:after="0" w:afterAutospacing="1"/>
              <w:jc w:val="right"/>
              <w:rPr>
                <w:b w:val="0"/>
                <w:sz w:val="20"/>
              </w:rPr>
            </w:pPr>
            <w:r>
              <w:rPr>
                <w:b w:val="0"/>
                <w:sz w:val="20"/>
              </w:rPr>
              <w:t>+1,175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1,242</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10.5</w:t>
            </w:r>
          </w:p>
        </w:tc>
        <w:tc>
          <w:tcPr>
            <w:vAlign w:val="center"/>
          </w:tcPr>
          <w:p w:rsidR="001A6775">
            <w:pPr>
              <w:bidi w:val="0"/>
              <w:spacing w:after="0" w:afterAutospacing="1"/>
              <w:jc w:val="right"/>
              <w:rPr>
                <w:b w:val="0"/>
                <w:sz w:val="20"/>
              </w:rPr>
            </w:pPr>
            <w:r>
              <w:rPr>
                <w:b w:val="0"/>
                <w:sz w:val="20"/>
              </w:rPr>
              <w:t>1,227</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1,499</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1,495</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1,750</w:t>
            </w:r>
          </w:p>
        </w:tc>
        <w:tc>
          <w:tcPr>
            <w:vAlign w:val="center"/>
          </w:tcPr>
          <w:p w:rsidR="001A6775">
            <w:pPr>
              <w:bidi w:val="0"/>
              <w:spacing w:after="0" w:afterAutospacing="1"/>
              <w:jc w:val="right"/>
              <w:rPr>
                <w:b w:val="0"/>
                <w:sz w:val="20"/>
              </w:rPr>
            </w:pPr>
            <w:r>
              <w:rPr>
                <w:b w:val="0"/>
                <w:sz w:val="20"/>
              </w:rPr>
              <w:t>11.0</w:t>
            </w:r>
          </w:p>
        </w:tc>
        <w:tc>
          <w:tcPr>
            <w:vAlign w:val="center"/>
          </w:tcPr>
          <w:p w:rsidR="001A6775">
            <w:pPr>
              <w:bidi w:val="0"/>
              <w:spacing w:after="0" w:afterAutospacing="1"/>
              <w:jc w:val="right"/>
              <w:rPr>
                <w:b w:val="0"/>
                <w:sz w:val="20"/>
              </w:rPr>
            </w:pPr>
            <w:r>
              <w:rPr>
                <w:b w:val="0"/>
                <w:sz w:val="20"/>
              </w:rPr>
              <w:t>12.4</w:t>
            </w:r>
          </w:p>
        </w:tc>
        <w:tc>
          <w:tcPr>
            <w:vAlign w:val="center"/>
          </w:tcPr>
          <w:p w:rsidR="001A6775">
            <w:pPr>
              <w:bidi w:val="0"/>
              <w:spacing w:after="0" w:afterAutospacing="1"/>
              <w:jc w:val="right"/>
              <w:rPr>
                <w:b w:val="0"/>
                <w:sz w:val="20"/>
              </w:rPr>
            </w:pPr>
            <w:r>
              <w:rPr>
                <w:b w:val="0"/>
                <w:sz w:val="20"/>
              </w:rPr>
              <w:t>1,708</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899</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1,028</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299</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290</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635</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699</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175</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15,912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14,427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+1,485</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Brunswick in 2021 shows the three most popular occupations were:</w:t>
      </w:r>
    </w:p>
    <w:p>
      <w:pPr>
        <w:numPr>
          <w:ilvl w:val="0"/>
          <w:numId w:val="1"/>
        </w:numPr>
        <w:bidi w:val="0"/>
        <w:spacing w:after="0" w:afterAutospacing="0"/>
        <w:rPr>
          <w:rtl w:val="0"/>
        </w:rPr>
      </w:pPr>
      <w:r>
        <w:rPr>
          <w:rtl w:val="0"/>
        </w:rPr>
        <w:t>Professionals (7,034 people or 44.2%)</w:t>
      </w:r>
    </w:p>
    <w:p>
      <w:pPr>
        <w:numPr>
          <w:ilvl w:val="0"/>
          <w:numId w:val="1"/>
        </w:numPr>
        <w:bidi w:val="0"/>
        <w:spacing w:after="0" w:afterAutospacing="0"/>
        <w:ind w:left="720"/>
        <w:rPr>
          <w:rtl w:val="0"/>
        </w:rPr>
      </w:pPr>
      <w:r>
        <w:rPr>
          <w:rtl w:val="0"/>
        </w:rPr>
        <w:t>Managers (2,321 people or 14.6%)</w:t>
      </w:r>
    </w:p>
    <w:p>
      <w:pPr>
        <w:numPr>
          <w:ilvl w:val="0"/>
          <w:numId w:val="1"/>
        </w:numPr>
        <w:bidi w:val="0"/>
        <w:spacing w:after="280" w:afterAutospacing="1"/>
        <w:ind w:left="720"/>
        <w:rPr>
          <w:rtl w:val="0"/>
        </w:rPr>
      </w:pPr>
      <w:r>
        <w:rPr>
          <w:rtl w:val="0"/>
        </w:rPr>
        <w:t>Clerical and Administrative Workers (1,750 people or 11.0%)</w:t>
      </w:r>
    </w:p>
    <w:p>
      <w:pPr>
        <w:bidi w:val="0"/>
        <w:spacing w:after="280" w:afterAutospacing="1"/>
        <w:rPr>
          <w:rtl w:val="0"/>
        </w:rPr>
      </w:pPr>
      <w:r>
        <w:rPr>
          <w:rtl w:val="0"/>
        </w:rPr>
        <w:t>In combination these three occupations accounted for 11,105 people in total or 69.8% of the employed resident population.</w:t>
      </w:r>
    </w:p>
    <w:p>
      <w:pPr>
        <w:bidi w:val="0"/>
        <w:spacing w:after="280" w:afterAutospacing="1"/>
        <w:rPr>
          <w:rtl w:val="0"/>
        </w:rPr>
      </w:pPr>
      <w:r>
        <w:rPr>
          <w:rtl w:val="0"/>
        </w:rPr>
        <w:t>In comparison, the City of Merri-bek employed 34.7% in Professionals; 13.6% in Managers; and 12.4% in Clerical and Administrative Workers.</w:t>
      </w:r>
    </w:p>
    <w:p>
      <w:pPr>
        <w:bidi w:val="0"/>
        <w:spacing w:after="280" w:afterAutospacing="1"/>
        <w:rPr>
          <w:rtl w:val="0"/>
        </w:rPr>
      </w:pPr>
      <w:r>
        <w:rPr>
          <w:rtl w:val="0"/>
        </w:rPr>
        <w:t>The major differences between the jobs held by the population of Brunswick and the City of Merri-bek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Professionals (44.2% compared to 34.7%)</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Technicians and Trades Workers (7.8% compared to 10.5%)</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Labourers (4.0% compared to 6.2%)</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Machinery Operators And Drivers (1.9% compared to 3.7%)</w:t>
      </w:r>
    </w:p>
    <w:p w:rsidR="001A6775">
      <w:pPr>
        <w:bidi w:val="0"/>
        <w:spacing w:after="280" w:afterAutospacing="1"/>
      </w:pPr>
      <w:r>
        <w:rPr>
          <w:rtl w:val="0"/>
        </w:rPr>
        <w:t>The number of employed people in Brunswick increased by 1,485 between 2016 and 2021.</w:t>
      </w:r>
    </w:p>
    <w:p>
      <w:pPr>
        <w:bidi w:val="0"/>
        <w:spacing w:after="280" w:afterAutospacing="1"/>
        <w:rPr>
          <w:rtl w:val="0"/>
        </w:rPr>
      </w:pPr>
      <w:r>
        <w:rPr>
          <w:rtl w:val="0"/>
        </w:rPr>
        <w:t>The largest changes in the occupations of residents between 2016 and 2021 in Brunswick were for those employed as:</w:t>
      </w:r>
    </w:p>
    <w:p>
      <w:pPr>
        <w:numPr>
          <w:ilvl w:val="0"/>
          <w:numId w:val="3"/>
        </w:numPr>
        <w:bidi w:val="0"/>
        <w:spacing w:after="0" w:afterAutospacing="0"/>
        <w:rPr>
          <w:rtl w:val="0"/>
        </w:rPr>
      </w:pPr>
      <w:r>
        <w:rPr>
          <w:rtl w:val="0"/>
        </w:rPr>
        <w:t>Professionals (+1,175 persons)</w:t>
      </w:r>
    </w:p>
    <w:p>
      <w:pPr>
        <w:numPr>
          <w:ilvl w:val="0"/>
          <w:numId w:val="3"/>
        </w:numPr>
        <w:bidi w:val="0"/>
        <w:spacing w:after="0" w:afterAutospacing="0"/>
        <w:ind w:left="720"/>
        <w:rPr>
          <w:rtl w:val="0"/>
        </w:rPr>
      </w:pPr>
      <w:r>
        <w:rPr>
          <w:rtl w:val="0"/>
        </w:rPr>
        <w:t>Managers (+378 persons)</w:t>
      </w:r>
    </w:p>
    <w:p>
      <w:pPr>
        <w:numPr>
          <w:ilvl w:val="0"/>
          <w:numId w:val="3"/>
        </w:numPr>
        <w:bidi w:val="0"/>
        <w:spacing w:after="0" w:afterAutospacing="0"/>
        <w:ind w:left="720"/>
        <w:rPr>
          <w:rtl w:val="0"/>
        </w:rPr>
      </w:pPr>
      <w:r>
        <w:rPr>
          <w:rtl w:val="0"/>
        </w:rPr>
        <w:t>Sales Workers (-130 persons)</w:t>
      </w:r>
    </w:p>
    <w:p>
      <w:pPr>
        <w:numPr>
          <w:ilvl w:val="0"/>
          <w:numId w:val="3"/>
        </w:numPr>
        <w:bidi w:val="0"/>
        <w:spacing w:after="280" w:afterAutospacing="1"/>
        <w:ind w:left="720"/>
        <w:rPr>
          <w:rtl w:val="0"/>
        </w:rPr>
      </w:pPr>
      <w:r>
        <w:rPr>
          <w:rtl w:val="0"/>
        </w:rPr>
        <w:t>Labourers (-64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