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Household size</w:t>
      </w:r>
    </w:p>
    <w:p w:rsidR="001A6775">
      <w:pPr>
        <w:bidi w:val="0"/>
        <w:spacing w:after="280" w:afterAutospacing="1"/>
      </w:pPr>
      <w:r>
        <w:rPr>
          <w:rtl w:val="0"/>
        </w:rPr>
        <w:t>The size of households in general follows the life-cycle of families. Households are usually small at the stage of relationship formation (early marriage), and then increase in size with the advent of children. They later reduce in size again as these children reach adulthood and leave home. Household size can also be influenced by a lack (or abundance) of affordable housing. Overseas migrants and indigenous persons often have a tradition of living with extended family members which significantly affects household size.</w:t>
      </w:r>
    </w:p>
    <w:p>
      <w:pPr>
        <w:bidi w:val="0"/>
        <w:spacing w:after="280" w:afterAutospacing="1"/>
      </w:pPr>
      <w:r>
        <w:rPr>
          <w:rtl w:val="0"/>
        </w:rPr>
        <w:t>Household size in Australia has generally declined since the 1970s, but the rate of decline has slowed in recent years.</w:t>
      </w:r>
    </w:p>
    <w:p>
      <w:pPr>
        <w:bidi w:val="0"/>
        <w:spacing w:after="280" w:afterAutospacing="1"/>
      </w:pPr>
      <w:r>
        <w:rPr>
          <w:rtl w:val="0"/>
        </w:rPr>
        <w:t>An increasing household size in an area may indicate a lack of affordable housing opportunities for young people, an increase in the birth rate or an increase in family formation in the area. A declining household size may indicate children leaving the area when they leave home, an increase in retirees settling in the area, or an attraction of young singles and couples to the area.</w:t>
      </w:r>
    </w:p>
    <w:p>
      <w:pPr>
        <w:bidi w:val="0"/>
        <w:spacing w:after="280" w:afterAutospacing="1"/>
      </w:pPr>
      <w:r>
        <w:rPr>
          <w:rtl w:val="0"/>
        </w:rPr>
        <w:t xml:space="preserve">For greater insight, Coburg's Household Size data should be viewed in conjunction with </w:t>
      </w:r>
      <w:r>
        <w:rPr>
          <w:rtl w:val="0"/>
        </w:rPr>
        <w:fldChar w:fldCharType="begin"/>
      </w:r>
      <w:r>
        <w:rPr>
          <w:rtl w:val="0"/>
        </w:rPr>
        <w:instrText xml:space="preserve"> HYPERLINK "households?[QS]" </w:instrText>
      </w:r>
      <w:r>
        <w:rPr>
          <w:rtl w:val="0"/>
        </w:rPr>
        <w:fldChar w:fldCharType="separate"/>
      </w:r>
      <w:r>
        <w:rPr>
          <w:color w:val="0000FF"/>
          <w:u w:val="single"/>
          <w:rtl w:val="0"/>
        </w:rPr>
        <w:t>Household Summary</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Coburg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persons usually resident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person</w:t>
            </w:r>
          </w:p>
        </w:tc>
        <w:tc>
          <w:tcPr>
            <w:vAlign w:val="center"/>
          </w:tcPr>
          <w:p w:rsidR="001A6775">
            <w:pPr>
              <w:bidi w:val="0"/>
              <w:spacing w:after="0" w:afterAutospacing="1"/>
              <w:jc w:val="right"/>
              <w:rPr>
                <w:b w:val="0"/>
                <w:sz w:val="20"/>
              </w:rPr>
            </w:pPr>
            <w:r>
              <w:rPr>
                <w:b w:val="0"/>
                <w:sz w:val="20"/>
              </w:rPr>
              <w:t>2,585</w:t>
            </w:r>
          </w:p>
        </w:tc>
        <w:tc>
          <w:tcPr>
            <w:vAlign w:val="center"/>
          </w:tcPr>
          <w:p w:rsidR="001A6775">
            <w:pPr>
              <w:bidi w:val="0"/>
              <w:spacing w:after="0" w:afterAutospacing="1"/>
              <w:jc w:val="right"/>
              <w:rPr>
                <w:b w:val="0"/>
                <w:sz w:val="20"/>
              </w:rPr>
            </w:pPr>
            <w:r>
              <w:rPr>
                <w:b w:val="0"/>
                <w:sz w:val="20"/>
              </w:rPr>
              <w:t>25.3</w:t>
            </w:r>
          </w:p>
        </w:tc>
        <w:tc>
          <w:tcPr>
            <w:vAlign w:val="center"/>
          </w:tcPr>
          <w:p w:rsidR="001A6775">
            <w:pPr>
              <w:bidi w:val="0"/>
              <w:spacing w:after="0" w:afterAutospacing="1"/>
              <w:jc w:val="right"/>
              <w:rPr>
                <w:b w:val="0"/>
                <w:sz w:val="20"/>
              </w:rPr>
            </w:pPr>
            <w:r>
              <w:rPr>
                <w:b w:val="0"/>
                <w:sz w:val="20"/>
              </w:rPr>
              <w:t>29.5</w:t>
            </w:r>
          </w:p>
        </w:tc>
        <w:tc>
          <w:tcPr>
            <w:vAlign w:val="center"/>
          </w:tcPr>
          <w:p w:rsidR="001A6775">
            <w:pPr>
              <w:bidi w:val="0"/>
              <w:spacing w:after="0" w:afterAutospacing="1"/>
              <w:jc w:val="right"/>
              <w:rPr>
                <w:b w:val="0"/>
                <w:sz w:val="20"/>
              </w:rPr>
            </w:pPr>
            <w:r>
              <w:rPr>
                <w:b w:val="0"/>
                <w:sz w:val="20"/>
              </w:rPr>
              <w:t>2,308</w:t>
            </w:r>
          </w:p>
        </w:tc>
        <w:tc>
          <w:tcPr>
            <w:vAlign w:val="center"/>
          </w:tcPr>
          <w:p w:rsidR="001A6775">
            <w:pPr>
              <w:bidi w:val="0"/>
              <w:spacing w:after="0" w:afterAutospacing="1"/>
              <w:jc w:val="right"/>
              <w:rPr>
                <w:b w:val="0"/>
                <w:sz w:val="20"/>
              </w:rPr>
            </w:pPr>
            <w:r>
              <w:rPr>
                <w:b w:val="0"/>
                <w:sz w:val="20"/>
              </w:rPr>
              <w:t>23.9</w:t>
            </w:r>
          </w:p>
        </w:tc>
        <w:tc>
          <w:tcPr>
            <w:vAlign w:val="center"/>
          </w:tcPr>
          <w:p w:rsidR="001A6775">
            <w:pPr>
              <w:bidi w:val="0"/>
              <w:spacing w:after="0" w:afterAutospacing="1"/>
              <w:jc w:val="right"/>
              <w:rPr>
                <w:b w:val="0"/>
                <w:sz w:val="20"/>
              </w:rPr>
            </w:pPr>
            <w:r>
              <w:rPr>
                <w:b w:val="0"/>
                <w:sz w:val="20"/>
              </w:rPr>
              <w:t>27.0</w:t>
            </w:r>
          </w:p>
        </w:tc>
        <w:tc>
          <w:tcPr>
            <w:vAlign w:val="center"/>
          </w:tcPr>
          <w:p w:rsidR="001A6775">
            <w:pPr>
              <w:bidi w:val="0"/>
              <w:spacing w:after="0" w:afterAutospacing="1"/>
              <w:jc w:val="right"/>
              <w:rPr>
                <w:b w:val="0"/>
                <w:sz w:val="20"/>
              </w:rPr>
            </w:pPr>
            <w:r>
              <w:rPr>
                <w:b w:val="0"/>
                <w:sz w:val="20"/>
              </w:rPr>
              <w:t>+276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persons</w:t>
            </w:r>
          </w:p>
        </w:tc>
        <w:tc>
          <w:tcPr>
            <w:vAlign w:val="center"/>
          </w:tcPr>
          <w:p w:rsidR="001A6775">
            <w:pPr>
              <w:bidi w:val="0"/>
              <w:spacing w:after="0" w:afterAutospacing="1"/>
              <w:jc w:val="right"/>
              <w:rPr>
                <w:b w:val="0"/>
                <w:sz w:val="20"/>
              </w:rPr>
            </w:pPr>
            <w:r>
              <w:rPr>
                <w:b w:val="0"/>
                <w:sz w:val="20"/>
              </w:rPr>
              <w:t>3,358</w:t>
            </w:r>
          </w:p>
        </w:tc>
        <w:tc>
          <w:tcPr>
            <w:vAlign w:val="center"/>
          </w:tcPr>
          <w:p w:rsidR="001A6775">
            <w:pPr>
              <w:bidi w:val="0"/>
              <w:spacing w:after="0" w:afterAutospacing="1"/>
              <w:jc w:val="right"/>
              <w:rPr>
                <w:b w:val="0"/>
                <w:sz w:val="20"/>
              </w:rPr>
            </w:pPr>
            <w:r>
              <w:rPr>
                <w:b w:val="0"/>
                <w:sz w:val="20"/>
              </w:rPr>
              <w:t>32.8</w:t>
            </w:r>
          </w:p>
        </w:tc>
        <w:tc>
          <w:tcPr>
            <w:vAlign w:val="center"/>
          </w:tcPr>
          <w:p w:rsidR="001A6775">
            <w:pPr>
              <w:bidi w:val="0"/>
              <w:spacing w:after="0" w:afterAutospacing="1"/>
              <w:jc w:val="right"/>
              <w:rPr>
                <w:b w:val="0"/>
                <w:sz w:val="20"/>
              </w:rPr>
            </w:pPr>
            <w:r>
              <w:rPr>
                <w:b w:val="0"/>
                <w:sz w:val="20"/>
              </w:rPr>
              <w:t>32.8</w:t>
            </w:r>
          </w:p>
        </w:tc>
        <w:tc>
          <w:tcPr>
            <w:vAlign w:val="center"/>
          </w:tcPr>
          <w:p w:rsidR="001A6775">
            <w:pPr>
              <w:bidi w:val="0"/>
              <w:spacing w:after="0" w:afterAutospacing="1"/>
              <w:jc w:val="right"/>
              <w:rPr>
                <w:b w:val="0"/>
                <w:sz w:val="20"/>
              </w:rPr>
            </w:pPr>
            <w:r>
              <w:rPr>
                <w:b w:val="0"/>
                <w:sz w:val="20"/>
              </w:rPr>
              <w:t>3,115</w:t>
            </w:r>
          </w:p>
        </w:tc>
        <w:tc>
          <w:tcPr>
            <w:vAlign w:val="center"/>
          </w:tcPr>
          <w:p w:rsidR="001A6775">
            <w:pPr>
              <w:bidi w:val="0"/>
              <w:spacing w:after="0" w:afterAutospacing="1"/>
              <w:jc w:val="right"/>
              <w:rPr>
                <w:b w:val="0"/>
                <w:sz w:val="20"/>
              </w:rPr>
            </w:pPr>
            <w:r>
              <w:rPr>
                <w:b w:val="0"/>
                <w:sz w:val="20"/>
              </w:rPr>
              <w:t>32.2</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+243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persons</w:t>
            </w:r>
          </w:p>
        </w:tc>
        <w:tc>
          <w:tcPr>
            <w:vAlign w:val="center"/>
          </w:tcPr>
          <w:p w:rsidR="001A6775">
            <w:pPr>
              <w:bidi w:val="0"/>
              <w:spacing w:after="0" w:afterAutospacing="1"/>
              <w:jc w:val="right"/>
              <w:rPr>
                <w:b w:val="0"/>
                <w:sz w:val="20"/>
              </w:rPr>
            </w:pPr>
            <w:r>
              <w:rPr>
                <w:b w:val="0"/>
                <w:sz w:val="20"/>
              </w:rPr>
              <w:t>1,871</w:t>
            </w:r>
          </w:p>
        </w:tc>
        <w:tc>
          <w:tcPr>
            <w:vAlign w:val="center"/>
          </w:tcPr>
          <w:p w:rsidR="001A6775">
            <w:pPr>
              <w:bidi w:val="0"/>
              <w:spacing w:after="0" w:afterAutospacing="1"/>
              <w:jc w:val="right"/>
              <w:rPr>
                <w:b w:val="0"/>
                <w:sz w:val="20"/>
              </w:rPr>
            </w:pPr>
            <w:r>
              <w:rPr>
                <w:b w:val="0"/>
                <w:sz w:val="20"/>
              </w:rPr>
              <w:t>18.3</w:t>
            </w:r>
          </w:p>
        </w:tc>
        <w:tc>
          <w:tcPr>
            <w:vAlign w:val="center"/>
          </w:tcPr>
          <w:p w:rsidR="001A6775">
            <w:pPr>
              <w:bidi w:val="0"/>
              <w:spacing w:after="0" w:afterAutospacing="1"/>
              <w:jc w:val="right"/>
              <w:rPr>
                <w:b w:val="0"/>
                <w:sz w:val="20"/>
              </w:rPr>
            </w:pPr>
            <w:r>
              <w:rPr>
                <w:b w:val="0"/>
                <w:sz w:val="20"/>
              </w:rPr>
              <w:t>16.3</w:t>
            </w:r>
          </w:p>
        </w:tc>
        <w:tc>
          <w:tcPr>
            <w:vAlign w:val="center"/>
          </w:tcPr>
          <w:p w:rsidR="001A6775">
            <w:pPr>
              <w:bidi w:val="0"/>
              <w:spacing w:after="0" w:afterAutospacing="1"/>
              <w:jc w:val="right"/>
              <w:rPr>
                <w:b w:val="0"/>
                <w:sz w:val="20"/>
              </w:rPr>
            </w:pPr>
            <w:r>
              <w:rPr>
                <w:b w:val="0"/>
                <w:sz w:val="20"/>
              </w:rPr>
              <w:t>1,785</w:t>
            </w:r>
          </w:p>
        </w:tc>
        <w:tc>
          <w:tcPr>
            <w:vAlign w:val="center"/>
          </w:tcPr>
          <w:p w:rsidR="001A6775">
            <w:pPr>
              <w:bidi w:val="0"/>
              <w:spacing w:after="0" w:afterAutospacing="1"/>
              <w:jc w:val="right"/>
              <w:rPr>
                <w:b w:val="0"/>
                <w:sz w:val="20"/>
              </w:rPr>
            </w:pPr>
            <w:r>
              <w:rPr>
                <w:b w:val="0"/>
                <w:sz w:val="20"/>
              </w:rPr>
              <w:t>18.5</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4 persons</w:t>
            </w:r>
          </w:p>
        </w:tc>
        <w:tc>
          <w:tcPr>
            <w:vAlign w:val="center"/>
          </w:tcPr>
          <w:p w:rsidR="001A6775">
            <w:pPr>
              <w:bidi w:val="0"/>
              <w:spacing w:after="0" w:afterAutospacing="1"/>
              <w:jc w:val="right"/>
              <w:rPr>
                <w:b w:val="0"/>
                <w:sz w:val="20"/>
              </w:rPr>
            </w:pPr>
            <w:r>
              <w:rPr>
                <w:b w:val="0"/>
                <w:sz w:val="20"/>
              </w:rPr>
              <w:t>1,712</w:t>
            </w:r>
          </w:p>
        </w:tc>
        <w:tc>
          <w:tcPr>
            <w:vAlign w:val="center"/>
          </w:tcPr>
          <w:p w:rsidR="001A6775">
            <w:pPr>
              <w:bidi w:val="0"/>
              <w:spacing w:after="0" w:afterAutospacing="1"/>
              <w:jc w:val="right"/>
              <w:rPr>
                <w:b w:val="0"/>
                <w:sz w:val="20"/>
              </w:rPr>
            </w:pPr>
            <w:r>
              <w:rPr>
                <w:b w:val="0"/>
                <w:sz w:val="20"/>
              </w:rPr>
              <w:t>16.7</w:t>
            </w:r>
          </w:p>
        </w:tc>
        <w:tc>
          <w:tcPr>
            <w:vAlign w:val="center"/>
          </w:tcPr>
          <w:p w:rsidR="001A6775">
            <w:pPr>
              <w:bidi w:val="0"/>
              <w:spacing w:after="0" w:afterAutospacing="1"/>
              <w:jc w:val="right"/>
              <w:rPr>
                <w:b w:val="0"/>
                <w:sz w:val="20"/>
              </w:rPr>
            </w:pPr>
            <w:r>
              <w:rPr>
                <w:b w:val="0"/>
                <w:sz w:val="20"/>
              </w:rPr>
              <w:t>14.6</w:t>
            </w:r>
          </w:p>
        </w:tc>
        <w:tc>
          <w:tcPr>
            <w:vAlign w:val="center"/>
          </w:tcPr>
          <w:p w:rsidR="001A6775">
            <w:pPr>
              <w:bidi w:val="0"/>
              <w:spacing w:after="0" w:afterAutospacing="1"/>
              <w:jc w:val="right"/>
              <w:rPr>
                <w:b w:val="0"/>
                <w:sz w:val="20"/>
              </w:rPr>
            </w:pPr>
            <w:r>
              <w:rPr>
                <w:b w:val="0"/>
                <w:sz w:val="20"/>
              </w:rPr>
              <w:t>1,628</w:t>
            </w:r>
          </w:p>
        </w:tc>
        <w:tc>
          <w:tcPr>
            <w:vAlign w:val="center"/>
          </w:tcPr>
          <w:p w:rsidR="001A6775">
            <w:pPr>
              <w:bidi w:val="0"/>
              <w:spacing w:after="0" w:afterAutospacing="1"/>
              <w:jc w:val="right"/>
              <w:rPr>
                <w:b w:val="0"/>
                <w:sz w:val="20"/>
              </w:rPr>
            </w:pPr>
            <w:r>
              <w:rPr>
                <w:b w:val="0"/>
                <w:sz w:val="20"/>
              </w:rPr>
              <w:t>16.9</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5 persons</w:t>
            </w:r>
          </w:p>
        </w:tc>
        <w:tc>
          <w:tcPr>
            <w:vAlign w:val="center"/>
          </w:tcPr>
          <w:p w:rsidR="001A6775">
            <w:pPr>
              <w:bidi w:val="0"/>
              <w:spacing w:after="0" w:afterAutospacing="1"/>
              <w:jc w:val="right"/>
              <w:rPr>
                <w:b w:val="0"/>
                <w:sz w:val="20"/>
              </w:rPr>
            </w:pPr>
            <w:r>
              <w:rPr>
                <w:b w:val="0"/>
                <w:sz w:val="20"/>
              </w:rPr>
              <w:t>498</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574</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5.3</w:t>
            </w:r>
          </w:p>
        </w:tc>
        <w:tc>
          <w:tcPr>
            <w:vAlign w:val="center"/>
          </w:tcPr>
          <w:p w:rsidR="001A6775">
            <w:pPr>
              <w:bidi w:val="0"/>
              <w:spacing w:after="0" w:afterAutospacing="1"/>
              <w:jc w:val="right"/>
              <w:rPr>
                <w:b w:val="0"/>
                <w:sz w:val="20"/>
              </w:rPr>
            </w:pPr>
            <w:r>
              <w:rPr>
                <w:b w:val="0"/>
                <w:sz w:val="20"/>
              </w:rPr>
              <w:t>-77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6 or more persons</w:t>
            </w:r>
          </w:p>
        </w:tc>
        <w:tc>
          <w:tcPr>
            <w:vAlign w:val="center"/>
          </w:tcPr>
          <w:p w:rsidR="001A6775">
            <w:pPr>
              <w:bidi w:val="0"/>
              <w:spacing w:after="0" w:afterAutospacing="1"/>
              <w:jc w:val="right"/>
              <w:rPr>
                <w:b w:val="0"/>
                <w:sz w:val="20"/>
              </w:rPr>
            </w:pPr>
            <w:r>
              <w:rPr>
                <w:b w:val="0"/>
                <w:sz w:val="20"/>
              </w:rPr>
              <w:t>210</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254</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classifiable households</w:t>
            </w:r>
          </w:p>
        </w:tc>
        <w:tc>
          <w:tcPr>
            <w:vAlign w:val="center"/>
          </w:tcPr>
          <w:p w:rsidR="001A6775">
            <w:pPr>
              <w:bidi w:val="0"/>
              <w:spacing w:after="0" w:afterAutospacing="1"/>
              <w:jc w:val="right"/>
              <w:rPr>
                <w:b/>
                <w:sz w:val="20"/>
              </w:rPr>
            </w:pPr>
            <w:r>
              <w:rPr>
                <w:b/>
                <w:sz w:val="20"/>
              </w:rPr>
              <w:t>10,234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9,667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+566</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Coburg -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Dwellings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Occupied private dwellings</w:t>
            </w:r>
          </w:p>
        </w:tc>
        <w:tc>
          <w:tcPr>
            <w:vAlign w:val="center"/>
          </w:tcPr>
          <w:p w:rsidR="001A6775">
            <w:pPr>
              <w:bidi w:val="0"/>
              <w:spacing w:after="0" w:afterAutospacing="1"/>
              <w:jc w:val="right"/>
              <w:rPr>
                <w:b w:val="0"/>
                <w:sz w:val="20"/>
              </w:rPr>
            </w:pPr>
            <w:r>
              <w:rPr>
                <w:b w:val="0"/>
                <w:sz w:val="20"/>
              </w:rPr>
              <w:t>10,553</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10,050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+503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Persons in occupied private dwellings</w:t>
            </w:r>
          </w:p>
        </w:tc>
        <w:tc>
          <w:tcPr>
            <w:vAlign w:val="center"/>
          </w:tcPr>
          <w:p w:rsidR="001A6775">
            <w:pPr>
              <w:bidi w:val="0"/>
              <w:spacing w:after="0" w:afterAutospacing="1"/>
              <w:jc w:val="right"/>
              <w:rPr>
                <w:b w:val="0"/>
                <w:sz w:val="20"/>
              </w:rPr>
            </w:pPr>
            <w:r>
              <w:rPr>
                <w:b w:val="0"/>
                <w:sz w:val="20"/>
              </w:rPr>
              <w:t>26,064</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25,523</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+541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Average household size (persons per dwelling)</w:t>
            </w:r>
          </w:p>
        </w:tc>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2.37</w:t>
            </w:r>
          </w:p>
        </w:tc>
        <w:tc>
          <w:tcPr>
            <w:vAlign w:val="center"/>
          </w:tcPr>
          <w:p w:rsidR="001A6775">
            <w:pPr>
              <w:bidi w:val="0"/>
              <w:spacing w:after="0" w:afterAutospacing="1"/>
              <w:jc w:val="right"/>
              <w:rPr>
                <w:b w:val="0"/>
                <w:sz w:val="20"/>
              </w:rPr>
            </w:pPr>
            <w:r>
              <w:rPr>
                <w:b w:val="0"/>
                <w:sz w:val="20"/>
              </w:rPr>
              <w:t>2.54</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2.45</w:t>
            </w:r>
          </w:p>
        </w:tc>
        <w:tc>
          <w:tcPr>
            <w:vAlign w:val="center"/>
          </w:tcPr>
          <w:p w:rsidR="001A6775">
            <w:pPr>
              <w:bidi w:val="0"/>
              <w:spacing w:after="0" w:afterAutospacing="1"/>
              <w:jc w:val="right"/>
              <w:rPr>
                <w:b w:val="0"/>
                <w:sz w:val="20"/>
              </w:rPr>
            </w:pPr>
            <w:r>
              <w:rPr>
                <w:b w:val="0"/>
                <w:sz w:val="20"/>
              </w:rPr>
              <w:t>0.07</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number of persons usually resident in a household in Coburg compared with the City of Merri-bek shows that there were a lower proportion of lone person households, and a higher proportion of larger households (those with 4 persons or more). Overall there were 25.3% of lone person households, and 23.6% of larger households, compared with 29.5% and 21.3% respectively for the City of Merri-bek.</w:t>
      </w:r>
    </w:p>
    <w:p>
      <w:pPr>
        <w:bidi w:val="0"/>
        <w:spacing w:after="280" w:afterAutospacing="1"/>
        <w:rPr>
          <w:rtl w:val="0"/>
        </w:rPr>
      </w:pPr>
      <w:r>
        <w:rPr>
          <w:rtl w:val="0"/>
        </w:rPr>
        <w:t>The major differences in the household size for Coburg and the City of Merri-bek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households with 4 persons usually resident (16.7% compared to 14.6%)</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households with 3 persons usually resident (18.3% compared to 16.3%)</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households with 1 person usually resident (25.3% compared to 29.5%)</w:t>
      </w:r>
    </w:p>
    <w:p w:rsidR="001A6775">
      <w:pPr>
        <w:bidi w:val="0"/>
        <w:spacing w:after="280" w:afterAutospacing="1"/>
      </w:pPr>
      <w:r>
        <w:rPr>
          <w:rtl w:val="0"/>
        </w:rPr>
        <w:t xml:space="preserve">The number of households in Coburg increased by 567 between 2016 and 2021. </w:t>
      </w:r>
    </w:p>
    <w:p>
      <w:pPr>
        <w:bidi w:val="0"/>
        <w:spacing w:after="280" w:afterAutospacing="1"/>
        <w:rPr>
          <w:rtl w:val="0"/>
        </w:rPr>
      </w:pPr>
      <w:r>
        <w:rPr>
          <w:rtl w:val="0"/>
        </w:rPr>
        <w:t>The largest changes in the number of persons usually resident in a household in Coburg between 2016 and 2021 were:</w:t>
      </w:r>
    </w:p>
    <w:p>
      <w:pPr>
        <w:numPr>
          <w:ilvl w:val="0"/>
          <w:numId w:val="2"/>
        </w:numPr>
        <w:bidi w:val="0"/>
        <w:spacing w:after="0" w:afterAutospacing="0"/>
        <w:rPr>
          <w:rtl w:val="0"/>
        </w:rPr>
      </w:pPr>
      <w:r>
        <w:rPr>
          <w:rtl w:val="0"/>
        </w:rPr>
        <w:t>1 person (+276 households)</w:t>
      </w:r>
    </w:p>
    <w:p>
      <w:pPr>
        <w:numPr>
          <w:ilvl w:val="0"/>
          <w:numId w:val="2"/>
        </w:numPr>
        <w:bidi w:val="0"/>
        <w:spacing w:after="0" w:afterAutospacing="0"/>
        <w:ind w:left="720"/>
        <w:rPr>
          <w:rtl w:val="0"/>
        </w:rPr>
      </w:pPr>
      <w:r>
        <w:rPr>
          <w:rtl w:val="0"/>
        </w:rPr>
        <w:t>2 persons (+243 households)</w:t>
      </w:r>
    </w:p>
    <w:p>
      <w:pPr>
        <w:numPr>
          <w:ilvl w:val="0"/>
          <w:numId w:val="2"/>
        </w:numPr>
        <w:bidi w:val="0"/>
        <w:spacing w:after="0" w:afterAutospacing="0"/>
        <w:ind w:left="720"/>
        <w:rPr>
          <w:rtl w:val="0"/>
        </w:rPr>
      </w:pPr>
      <w:r>
        <w:rPr>
          <w:rtl w:val="0"/>
        </w:rPr>
        <w:t>3 persons (+86 households)</w:t>
      </w:r>
    </w:p>
    <w:p>
      <w:pPr>
        <w:numPr>
          <w:ilvl w:val="0"/>
          <w:numId w:val="2"/>
        </w:numPr>
        <w:bidi w:val="0"/>
        <w:spacing w:after="280" w:afterAutospacing="1"/>
        <w:ind w:left="720"/>
        <w:rPr>
          <w:rtl w:val="0"/>
        </w:rPr>
      </w:pPr>
      <w:r>
        <w:rPr>
          <w:rtl w:val="0"/>
        </w:rPr>
        <w:t>4 persons (+83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