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City of Merri-bek</w:t>
      </w:r>
    </w:p>
    <w:p w:rsidR="001A6775">
      <w:pPr>
        <w:pStyle w:val="Heading4"/>
        <w:bidi w:val="0"/>
        <w:spacing w:after="280" w:afterAutospacing="1"/>
      </w:pPr>
      <w:r>
        <w:rPr>
          <w:rtl w:val="0"/>
        </w:rPr>
        <w:t>Number of cars per household</w:t>
      </w:r>
    </w:p>
    <w:p w:rsidR="001A6775">
      <w:pPr>
        <w:bidi w:val="0"/>
        <w:spacing w:after="280" w:afterAutospacing="1"/>
      </w:pPr>
      <w:r>
        <w:rPr>
          <w:rtl w:val="0"/>
        </w:rPr>
        <w:t xml:space="preserve">The ability of the population to access services and employment is strongly influenced by access to transport. The number of motor vehicles per household in Fawkner quantifies access to private transport and will be influenced by </w:t>
      </w:r>
      <w:r>
        <w:rPr>
          <w:rtl w:val="0"/>
        </w:rPr>
        <w:fldChar w:fldCharType="begin"/>
      </w:r>
      <w:r>
        <w:rPr>
          <w:rtl w:val="0"/>
        </w:rPr>
        <w:instrText xml:space="preserve"> HYPERLINK "five-year-age-groups?[QS]" </w:instrText>
      </w:r>
      <w:r>
        <w:rPr>
          <w:rtl w:val="0"/>
        </w:rPr>
        <w:fldChar w:fldCharType="separate"/>
      </w:r>
      <w:r>
        <w:rPr>
          <w:color w:val="0000FF"/>
          <w:u w:val="single"/>
          <w:rtl w:val="0"/>
        </w:rPr>
        <w:t>Age Structure</w:t>
      </w:r>
      <w:r>
        <w:rPr>
          <w:rtl w:val="0"/>
        </w:rPr>
        <w:fldChar w:fldCharType="end"/>
      </w:r>
      <w:r>
        <w:rPr>
          <w:rtl w:val="0"/>
        </w:rPr>
        <w:t xml:space="preserve"> and </w:t>
      </w:r>
      <w:r>
        <w:rPr>
          <w:rtl w:val="0"/>
        </w:rPr>
        <w:fldChar w:fldCharType="begin"/>
      </w:r>
      <w:r>
        <w:rPr>
          <w:rtl w:val="0"/>
        </w:rPr>
        <w:instrText xml:space="preserve"> HYPERLINK "households?[QS]" </w:instrText>
      </w:r>
      <w:r>
        <w:rPr>
          <w:rtl w:val="0"/>
        </w:rPr>
        <w:fldChar w:fldCharType="separate"/>
      </w:r>
      <w:r>
        <w:rPr>
          <w:color w:val="0000FF"/>
          <w:u w:val="single"/>
          <w:rtl w:val="0"/>
        </w:rPr>
        <w:t>Household Type</w:t>
      </w:r>
      <w:r>
        <w:rPr>
          <w:rtl w:val="0"/>
        </w:rPr>
        <w:fldChar w:fldCharType="end"/>
      </w:r>
      <w:r>
        <w:rPr>
          <w:rtl w:val="0"/>
        </w:rPr>
        <w:t xml:space="preserve">, which determine the number of adults present; access to </w:t>
      </w:r>
      <w:r>
        <w:rPr>
          <w:rtl w:val="0"/>
        </w:rPr>
        <w:fldChar w:fldCharType="begin"/>
      </w:r>
      <w:r>
        <w:rPr>
          <w:rtl w:val="0"/>
        </w:rPr>
        <w:instrText xml:space="preserve"> HYPERLINK "travel-to-work?[QS]" </w:instrText>
      </w:r>
      <w:r>
        <w:rPr>
          <w:rtl w:val="0"/>
        </w:rPr>
        <w:fldChar w:fldCharType="separate"/>
      </w:r>
      <w:r>
        <w:rPr>
          <w:color w:val="0000FF"/>
          <w:u w:val="single"/>
          <w:rtl w:val="0"/>
        </w:rPr>
        <w:t>Public Transport</w:t>
      </w:r>
      <w:r>
        <w:rPr>
          <w:rtl w:val="0"/>
        </w:rPr>
        <w:fldChar w:fldCharType="end"/>
      </w:r>
      <w:r>
        <w:rPr>
          <w:rtl w:val="0"/>
        </w:rPr>
        <w:t xml:space="preserve">; distance to shops, services, employment and education; and </w:t>
      </w:r>
      <w:r>
        <w:rPr>
          <w:rtl w:val="0"/>
        </w:rPr>
        <w:fldChar w:fldCharType="begin"/>
      </w:r>
      <w:r>
        <w:rPr>
          <w:rtl w:val="0"/>
        </w:rPr>
        <w:instrText xml:space="preserve"> HYPERLINK "household-income?[QS]" </w:instrText>
      </w:r>
      <w:r>
        <w:rPr>
          <w:rtl w:val="0"/>
        </w:rPr>
        <w:fldChar w:fldCharType="separate"/>
      </w:r>
      <w:r>
        <w:rPr>
          <w:color w:val="0000FF"/>
          <w:u w:val="single"/>
          <w:rtl w:val="0"/>
        </w:rPr>
        <w:t>Household Income</w:t>
      </w:r>
      <w:r>
        <w:rPr>
          <w:rtl w:val="0"/>
        </w:rPr>
        <w:fldChar w:fldCharType="end"/>
      </w:r>
      <w:r>
        <w:rPr>
          <w:rtl w:val="0"/>
        </w:rPr>
        <w:t>. Depending on these factors, car ownership can be seen as a measure of advantage or disadvantage, or a neutral socio-economic measure, which impacts on the environment and quality of life.</w:t>
      </w:r>
    </w:p>
    <w:tbl>
      <w:tblPr>
        <w:tblW w:w="5000" w:type="pct"/>
        <w:jc w:val="left"/>
        <w:tblBorders>
          <w:top w:val="nil"/>
          <w:left w:val="nil"/>
          <w:bottom w:val="nil"/>
          <w:right w:val="nil"/>
          <w:insideH w:val="nil"/>
          <w:insideV w:val="nil"/>
        </w:tblBorders>
        <w:tblCellMar>
          <w:left w:w="108" w:type="dxa"/>
          <w:right w:w="108" w:type="dxa"/>
        </w:tblCellMar>
      </w:tblPr>
      <w:tblGrid>
        <w:gridCol w:w="1100"/>
        <w:gridCol w:w="1100"/>
        <w:gridCol w:w="1100"/>
        <w:gridCol w:w="1100"/>
        <w:gridCol w:w="1100"/>
        <w:gridCol w:w="1100"/>
        <w:gridCol w:w="1100"/>
        <w:gridCol w:w="1100"/>
      </w:tblGrid>
      <w:tr>
        <w:tblPrEx>
          <w:tblW w:w="5000" w:type="pct"/>
          <w:jc w:val="left"/>
          <w:tblBorders>
            <w:top w:val="nil"/>
            <w:left w:val="nil"/>
            <w:bottom w:val="nil"/>
            <w:right w:val="nil"/>
            <w:insideH w:val="nil"/>
            <w:insideV w:val="nil"/>
          </w:tblBorders>
          <w:tblCellMar>
            <w:left w:w="108" w:type="dxa"/>
            <w:right w:w="108" w:type="dxa"/>
          </w:tblCellMar>
        </w:tblPrEx>
        <w:trPr>
          <w:jc w:val="left"/>
        </w:trPr>
        <w:tc>
          <w:tcPr>
            <w:hMerge w:val="restart"/>
          </w:tcPr>
          <w:p w:rsidR="001A6775">
            <w:pPr>
              <w:bidi w:val="0"/>
              <w:spacing w:after="0" w:afterAutospacing="1"/>
              <w:jc w:val="left"/>
              <w:rPr>
                <w:b/>
                <w:sz w:val="20"/>
              </w:rPr>
            </w:pPr>
            <w:r>
              <w:rPr>
                <w:b/>
                <w:sz w:val="30"/>
              </w:rPr>
              <w:t>Car ownership</w:t>
            </w: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p w:rsidR="001A6775">
            <w:pPr>
              <w:bidi w:val="0"/>
              <w:spacing w:after="0" w:afterAutospacing="1"/>
              <w:jc w:val="left"/>
              <w:rPr>
                <w:b/>
                <w:sz w:val="30"/>
              </w:rPr>
            </w:pPr>
            <w:r>
              <w:rPr>
                <w:b/>
                <w:sz w:val="20"/>
              </w:rPr>
              <w:t>Fawkner - Households (Enumerated)</w:t>
            </w:r>
          </w:p>
        </w:tc>
        <w:tc>
          <w:tcPr>
            <w:hMerge w:val="restart"/>
          </w:tcPr>
          <w:p w:rsidR="001A6775">
            <w:pPr>
              <w:bidi w:val="0"/>
              <w:spacing w:after="0" w:afterAutospacing="1"/>
              <w:jc w:val="center"/>
              <w:rPr>
                <w:b/>
                <w:sz w:val="20"/>
              </w:rPr>
            </w:pPr>
            <w:r>
              <w:rPr>
                <w:b/>
                <w:sz w:val="30"/>
              </w:rPr>
              <w:t>2021</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hMerge w:val="restart"/>
          </w:tcPr>
          <w:p w:rsidR="001A6775">
            <w:pPr>
              <w:bidi w:val="0"/>
              <w:spacing w:after="0" w:afterAutospacing="1"/>
              <w:jc w:val="center"/>
              <w:rPr>
                <w:b/>
                <w:sz w:val="30"/>
              </w:rPr>
            </w:pPr>
            <w:r>
              <w:rPr>
                <w:b/>
                <w:sz w:val="30"/>
              </w:rPr>
              <w:t>2016</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vAlign w:val="bottom"/>
          </w:tcPr>
          <w:p w:rsidR="001A6775">
            <w:pPr>
              <w:bidi w:val="0"/>
              <w:spacing w:after="0" w:afterAutospacing="1"/>
              <w:jc w:val="right"/>
              <w:rPr>
                <w:b/>
                <w:sz w:val="30"/>
              </w:rPr>
            </w:pPr>
            <w:r>
              <w:rPr>
                <w:b/>
                <w:sz w:val="20"/>
              </w:rPr>
              <w:t>Change</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Number of cars</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City of Merri-bek %</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City of Merri-bek %</w:t>
            </w:r>
          </w:p>
        </w:tc>
        <w:tc>
          <w:tcPr>
            <w:vAlign w:val="center"/>
          </w:tcPr>
          <w:p w:rsidR="001A6775">
            <w:pPr>
              <w:bidi w:val="0"/>
              <w:spacing w:after="0" w:afterAutospacing="1"/>
              <w:jc w:val="right"/>
              <w:rPr>
                <w:b/>
                <w:sz w:val="20"/>
              </w:rPr>
            </w:pPr>
            <w:r>
              <w:rPr>
                <w:b/>
                <w:sz w:val="20"/>
              </w:rPr>
              <w:t>2016 to 2021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No motor vehicles</w:t>
            </w:r>
          </w:p>
        </w:tc>
        <w:tc>
          <w:tcPr>
            <w:vAlign w:val="center"/>
          </w:tcPr>
          <w:p w:rsidR="001A6775">
            <w:pPr>
              <w:bidi w:val="0"/>
              <w:spacing w:after="0" w:afterAutospacing="1"/>
              <w:jc w:val="right"/>
              <w:rPr>
                <w:b w:val="0"/>
                <w:sz w:val="20"/>
              </w:rPr>
            </w:pPr>
            <w:r>
              <w:rPr>
                <w:b w:val="0"/>
                <w:sz w:val="20"/>
              </w:rPr>
              <w:t>467</w:t>
            </w:r>
          </w:p>
        </w:tc>
        <w:tc>
          <w:tcPr>
            <w:vAlign w:val="center"/>
          </w:tcPr>
          <w:p w:rsidR="001A6775">
            <w:pPr>
              <w:bidi w:val="0"/>
              <w:spacing w:after="0" w:afterAutospacing="1"/>
              <w:jc w:val="right"/>
              <w:rPr>
                <w:b w:val="0"/>
                <w:sz w:val="20"/>
              </w:rPr>
            </w:pPr>
            <w:r>
              <w:rPr>
                <w:b w:val="0"/>
                <w:sz w:val="20"/>
              </w:rPr>
              <w:t>9.6</w:t>
            </w:r>
          </w:p>
        </w:tc>
        <w:tc>
          <w:tcPr>
            <w:vAlign w:val="center"/>
          </w:tcPr>
          <w:p w:rsidR="001A6775">
            <w:pPr>
              <w:bidi w:val="0"/>
              <w:spacing w:after="0" w:afterAutospacing="1"/>
              <w:jc w:val="right"/>
              <w:rPr>
                <w:b w:val="0"/>
                <w:sz w:val="20"/>
              </w:rPr>
            </w:pPr>
            <w:r>
              <w:rPr>
                <w:b w:val="0"/>
                <w:sz w:val="20"/>
              </w:rPr>
              <w:t>12.6</w:t>
            </w:r>
          </w:p>
        </w:tc>
        <w:tc>
          <w:tcPr>
            <w:vAlign w:val="center"/>
          </w:tcPr>
          <w:p w:rsidR="001A6775">
            <w:pPr>
              <w:bidi w:val="0"/>
              <w:spacing w:after="0" w:afterAutospacing="1"/>
              <w:jc w:val="right"/>
              <w:rPr>
                <w:b w:val="0"/>
                <w:sz w:val="20"/>
              </w:rPr>
            </w:pPr>
            <w:r>
              <w:rPr>
                <w:b w:val="0"/>
                <w:sz w:val="20"/>
              </w:rPr>
              <w:t>482</w:t>
            </w:r>
          </w:p>
        </w:tc>
        <w:tc>
          <w:tcPr>
            <w:vAlign w:val="center"/>
          </w:tcPr>
          <w:p w:rsidR="001A6775">
            <w:pPr>
              <w:bidi w:val="0"/>
              <w:spacing w:after="0" w:afterAutospacing="1"/>
              <w:jc w:val="right"/>
              <w:rPr>
                <w:b w:val="0"/>
                <w:sz w:val="20"/>
              </w:rPr>
            </w:pPr>
            <w:r>
              <w:rPr>
                <w:b w:val="0"/>
                <w:sz w:val="20"/>
              </w:rPr>
              <w:t>10.5</w:t>
            </w:r>
          </w:p>
        </w:tc>
        <w:tc>
          <w:tcPr>
            <w:vAlign w:val="center"/>
          </w:tcPr>
          <w:p w:rsidR="001A6775">
            <w:pPr>
              <w:bidi w:val="0"/>
              <w:spacing w:after="0" w:afterAutospacing="1"/>
              <w:jc w:val="right"/>
              <w:rPr>
                <w:b w:val="0"/>
                <w:sz w:val="20"/>
              </w:rPr>
            </w:pPr>
            <w:r>
              <w:rPr>
                <w:b w:val="0"/>
                <w:sz w:val="20"/>
              </w:rPr>
              <w:t>13.0</w:t>
            </w:r>
          </w:p>
        </w:tc>
        <w:tc>
          <w:tcPr>
            <w:vAlign w:val="center"/>
          </w:tcPr>
          <w:p w:rsidR="001A6775">
            <w:pPr>
              <w:bidi w:val="0"/>
              <w:spacing w:after="0" w:afterAutospacing="1"/>
              <w:jc w:val="right"/>
              <w:rPr>
                <w:b w:val="0"/>
                <w:sz w:val="20"/>
              </w:rPr>
            </w:pPr>
            <w:r>
              <w:rPr>
                <w:b w:val="0"/>
                <w:sz w:val="20"/>
              </w:rPr>
              <w:t>-15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1 motor vehicle</w:t>
            </w:r>
          </w:p>
        </w:tc>
        <w:tc>
          <w:tcPr>
            <w:vAlign w:val="center"/>
          </w:tcPr>
          <w:p w:rsidR="001A6775">
            <w:pPr>
              <w:bidi w:val="0"/>
              <w:spacing w:after="0" w:afterAutospacing="1"/>
              <w:jc w:val="right"/>
              <w:rPr>
                <w:b w:val="0"/>
                <w:sz w:val="20"/>
              </w:rPr>
            </w:pPr>
            <w:r>
              <w:rPr>
                <w:b w:val="0"/>
                <w:sz w:val="20"/>
              </w:rPr>
              <w:t>1,889</w:t>
            </w:r>
          </w:p>
        </w:tc>
        <w:tc>
          <w:tcPr>
            <w:vAlign w:val="center"/>
          </w:tcPr>
          <w:p w:rsidR="001A6775">
            <w:pPr>
              <w:bidi w:val="0"/>
              <w:spacing w:after="0" w:afterAutospacing="1"/>
              <w:jc w:val="right"/>
              <w:rPr>
                <w:b w:val="0"/>
                <w:sz w:val="20"/>
              </w:rPr>
            </w:pPr>
            <w:r>
              <w:rPr>
                <w:b w:val="0"/>
                <w:sz w:val="20"/>
              </w:rPr>
              <w:t>39.0</w:t>
            </w:r>
          </w:p>
        </w:tc>
        <w:tc>
          <w:tcPr>
            <w:vAlign w:val="center"/>
          </w:tcPr>
          <w:p w:rsidR="001A6775">
            <w:pPr>
              <w:bidi w:val="0"/>
              <w:spacing w:after="0" w:afterAutospacing="1"/>
              <w:jc w:val="right"/>
              <w:rPr>
                <w:b w:val="0"/>
                <w:sz w:val="20"/>
              </w:rPr>
            </w:pPr>
            <w:r>
              <w:rPr>
                <w:b w:val="0"/>
                <w:sz w:val="20"/>
              </w:rPr>
              <w:t>45.3</w:t>
            </w:r>
          </w:p>
        </w:tc>
        <w:tc>
          <w:tcPr>
            <w:vAlign w:val="center"/>
          </w:tcPr>
          <w:p w:rsidR="001A6775">
            <w:pPr>
              <w:bidi w:val="0"/>
              <w:spacing w:after="0" w:afterAutospacing="1"/>
              <w:jc w:val="right"/>
              <w:rPr>
                <w:b w:val="0"/>
                <w:sz w:val="20"/>
              </w:rPr>
            </w:pPr>
            <w:r>
              <w:rPr>
                <w:b w:val="0"/>
                <w:sz w:val="20"/>
              </w:rPr>
              <w:t>1,768</w:t>
            </w:r>
          </w:p>
        </w:tc>
        <w:tc>
          <w:tcPr>
            <w:vAlign w:val="center"/>
          </w:tcPr>
          <w:p w:rsidR="001A6775">
            <w:pPr>
              <w:bidi w:val="0"/>
              <w:spacing w:after="0" w:afterAutospacing="1"/>
              <w:jc w:val="right"/>
              <w:rPr>
                <w:b w:val="0"/>
                <w:sz w:val="20"/>
              </w:rPr>
            </w:pPr>
            <w:r>
              <w:rPr>
                <w:b w:val="0"/>
                <w:sz w:val="20"/>
              </w:rPr>
              <w:t>38.4</w:t>
            </w:r>
          </w:p>
        </w:tc>
        <w:tc>
          <w:tcPr>
            <w:vAlign w:val="center"/>
          </w:tcPr>
          <w:p w:rsidR="001A6775">
            <w:pPr>
              <w:bidi w:val="0"/>
              <w:spacing w:after="0" w:afterAutospacing="1"/>
              <w:jc w:val="right"/>
              <w:rPr>
                <w:b w:val="0"/>
                <w:sz w:val="20"/>
              </w:rPr>
            </w:pPr>
            <w:r>
              <w:rPr>
                <w:b w:val="0"/>
                <w:sz w:val="20"/>
              </w:rPr>
              <w:t>41.8</w:t>
            </w:r>
          </w:p>
        </w:tc>
        <w:tc>
          <w:tcPr>
            <w:vAlign w:val="center"/>
          </w:tcPr>
          <w:p w:rsidR="001A6775">
            <w:pPr>
              <w:bidi w:val="0"/>
              <w:spacing w:after="0" w:afterAutospacing="1"/>
              <w:jc w:val="right"/>
              <w:rPr>
                <w:b w:val="0"/>
                <w:sz w:val="20"/>
              </w:rPr>
            </w:pPr>
            <w:r>
              <w:rPr>
                <w:b w:val="0"/>
                <w:sz w:val="20"/>
              </w:rPr>
              <w:t>+121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2 motor vehicles</w:t>
            </w:r>
          </w:p>
        </w:tc>
        <w:tc>
          <w:tcPr>
            <w:vAlign w:val="center"/>
          </w:tcPr>
          <w:p w:rsidR="001A6775">
            <w:pPr>
              <w:bidi w:val="0"/>
              <w:spacing w:after="0" w:afterAutospacing="1"/>
              <w:jc w:val="right"/>
              <w:rPr>
                <w:b w:val="0"/>
                <w:sz w:val="20"/>
              </w:rPr>
            </w:pPr>
            <w:r>
              <w:rPr>
                <w:b w:val="0"/>
                <w:sz w:val="20"/>
              </w:rPr>
              <w:t>1,467</w:t>
            </w:r>
          </w:p>
        </w:tc>
        <w:tc>
          <w:tcPr>
            <w:vAlign w:val="center"/>
          </w:tcPr>
          <w:p w:rsidR="001A6775">
            <w:pPr>
              <w:bidi w:val="0"/>
              <w:spacing w:after="0" w:afterAutospacing="1"/>
              <w:jc w:val="right"/>
              <w:rPr>
                <w:b w:val="0"/>
                <w:sz w:val="20"/>
              </w:rPr>
            </w:pPr>
            <w:r>
              <w:rPr>
                <w:b w:val="0"/>
                <w:sz w:val="20"/>
              </w:rPr>
              <w:t>30.3</w:t>
            </w:r>
          </w:p>
        </w:tc>
        <w:tc>
          <w:tcPr>
            <w:vAlign w:val="center"/>
          </w:tcPr>
          <w:p w:rsidR="001A6775">
            <w:pPr>
              <w:bidi w:val="0"/>
              <w:spacing w:after="0" w:afterAutospacing="1"/>
              <w:jc w:val="right"/>
              <w:rPr>
                <w:b w:val="0"/>
                <w:sz w:val="20"/>
              </w:rPr>
            </w:pPr>
            <w:r>
              <w:rPr>
                <w:b w:val="0"/>
                <w:sz w:val="20"/>
              </w:rPr>
              <w:t>27.4</w:t>
            </w:r>
          </w:p>
        </w:tc>
        <w:tc>
          <w:tcPr>
            <w:vAlign w:val="center"/>
          </w:tcPr>
          <w:p w:rsidR="001A6775">
            <w:pPr>
              <w:bidi w:val="0"/>
              <w:spacing w:after="0" w:afterAutospacing="1"/>
              <w:jc w:val="right"/>
              <w:rPr>
                <w:b w:val="0"/>
                <w:sz w:val="20"/>
              </w:rPr>
            </w:pPr>
            <w:r>
              <w:rPr>
                <w:b w:val="0"/>
                <w:sz w:val="20"/>
              </w:rPr>
              <w:t>1,324</w:t>
            </w:r>
          </w:p>
        </w:tc>
        <w:tc>
          <w:tcPr>
            <w:vAlign w:val="center"/>
          </w:tcPr>
          <w:p w:rsidR="001A6775">
            <w:pPr>
              <w:bidi w:val="0"/>
              <w:spacing w:after="0" w:afterAutospacing="1"/>
              <w:jc w:val="right"/>
              <w:rPr>
                <w:b w:val="0"/>
                <w:sz w:val="20"/>
              </w:rPr>
            </w:pPr>
            <w:r>
              <w:rPr>
                <w:b w:val="0"/>
                <w:sz w:val="20"/>
              </w:rPr>
              <w:t>28.7</w:t>
            </w:r>
          </w:p>
        </w:tc>
        <w:tc>
          <w:tcPr>
            <w:vAlign w:val="center"/>
          </w:tcPr>
          <w:p w:rsidR="001A6775">
            <w:pPr>
              <w:bidi w:val="0"/>
              <w:spacing w:after="0" w:afterAutospacing="1"/>
              <w:jc w:val="right"/>
              <w:rPr>
                <w:b w:val="0"/>
                <w:sz w:val="20"/>
              </w:rPr>
            </w:pPr>
            <w:r>
              <w:rPr>
                <w:b w:val="0"/>
                <w:sz w:val="20"/>
              </w:rPr>
              <w:t>27.3</w:t>
            </w:r>
          </w:p>
        </w:tc>
        <w:tc>
          <w:tcPr>
            <w:vAlign w:val="center"/>
          </w:tcPr>
          <w:p w:rsidR="001A6775">
            <w:pPr>
              <w:bidi w:val="0"/>
              <w:spacing w:after="0" w:afterAutospacing="1"/>
              <w:jc w:val="right"/>
              <w:rPr>
                <w:b w:val="0"/>
                <w:sz w:val="20"/>
              </w:rPr>
            </w:pPr>
            <w:r>
              <w:rPr>
                <w:b w:val="0"/>
                <w:sz w:val="20"/>
              </w:rPr>
              <w:t>+143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3 or more motor vehicles</w:t>
            </w:r>
          </w:p>
        </w:tc>
        <w:tc>
          <w:tcPr>
            <w:vAlign w:val="center"/>
          </w:tcPr>
          <w:p w:rsidR="001A6775">
            <w:pPr>
              <w:bidi w:val="0"/>
              <w:spacing w:after="0" w:afterAutospacing="1"/>
              <w:jc w:val="right"/>
              <w:rPr>
                <w:b w:val="0"/>
                <w:sz w:val="20"/>
              </w:rPr>
            </w:pPr>
            <w:r>
              <w:rPr>
                <w:b w:val="0"/>
                <w:sz w:val="20"/>
              </w:rPr>
              <w:t>724</w:t>
            </w:r>
          </w:p>
        </w:tc>
        <w:tc>
          <w:tcPr>
            <w:vAlign w:val="center"/>
          </w:tcPr>
          <w:p w:rsidR="001A6775">
            <w:pPr>
              <w:bidi w:val="0"/>
              <w:spacing w:after="0" w:afterAutospacing="1"/>
              <w:jc w:val="right"/>
              <w:rPr>
                <w:b w:val="0"/>
                <w:sz w:val="20"/>
              </w:rPr>
            </w:pPr>
            <w:r>
              <w:rPr>
                <w:b w:val="0"/>
                <w:sz w:val="20"/>
              </w:rPr>
              <w:t>14.9</w:t>
            </w:r>
          </w:p>
        </w:tc>
        <w:tc>
          <w:tcPr>
            <w:vAlign w:val="center"/>
          </w:tcPr>
          <w:p w:rsidR="001A6775">
            <w:pPr>
              <w:bidi w:val="0"/>
              <w:spacing w:after="0" w:afterAutospacing="1"/>
              <w:jc w:val="right"/>
              <w:rPr>
                <w:b w:val="0"/>
                <w:sz w:val="20"/>
              </w:rPr>
            </w:pPr>
            <w:r>
              <w:rPr>
                <w:b w:val="0"/>
                <w:sz w:val="20"/>
              </w:rPr>
              <w:t>10.2</w:t>
            </w:r>
          </w:p>
        </w:tc>
        <w:tc>
          <w:tcPr>
            <w:vAlign w:val="center"/>
          </w:tcPr>
          <w:p w:rsidR="001A6775">
            <w:pPr>
              <w:bidi w:val="0"/>
              <w:spacing w:after="0" w:afterAutospacing="1"/>
              <w:jc w:val="right"/>
              <w:rPr>
                <w:b w:val="0"/>
                <w:sz w:val="20"/>
              </w:rPr>
            </w:pPr>
            <w:r>
              <w:rPr>
                <w:b w:val="0"/>
                <w:sz w:val="20"/>
              </w:rPr>
              <w:t>640</w:t>
            </w:r>
          </w:p>
        </w:tc>
        <w:tc>
          <w:tcPr>
            <w:vAlign w:val="center"/>
          </w:tcPr>
          <w:p w:rsidR="001A6775">
            <w:pPr>
              <w:bidi w:val="0"/>
              <w:spacing w:after="0" w:afterAutospacing="1"/>
              <w:jc w:val="right"/>
              <w:rPr>
                <w:b w:val="0"/>
                <w:sz w:val="20"/>
              </w:rPr>
            </w:pPr>
            <w:r>
              <w:rPr>
                <w:b w:val="0"/>
                <w:sz w:val="20"/>
              </w:rPr>
              <w:t>13.9</w:t>
            </w:r>
          </w:p>
        </w:tc>
        <w:tc>
          <w:tcPr>
            <w:vAlign w:val="center"/>
          </w:tcPr>
          <w:p w:rsidR="001A6775">
            <w:pPr>
              <w:bidi w:val="0"/>
              <w:spacing w:after="0" w:afterAutospacing="1"/>
              <w:jc w:val="right"/>
              <w:rPr>
                <w:b w:val="0"/>
                <w:sz w:val="20"/>
              </w:rPr>
            </w:pPr>
            <w:r>
              <w:rPr>
                <w:b w:val="0"/>
                <w:sz w:val="20"/>
              </w:rPr>
              <w:t>10.0</w:t>
            </w:r>
          </w:p>
        </w:tc>
        <w:tc>
          <w:tcPr>
            <w:vAlign w:val="center"/>
          </w:tcPr>
          <w:p w:rsidR="001A6775">
            <w:pPr>
              <w:bidi w:val="0"/>
              <w:spacing w:after="0" w:afterAutospacing="1"/>
              <w:jc w:val="right"/>
              <w:rPr>
                <w:b w:val="0"/>
                <w:sz w:val="20"/>
              </w:rPr>
            </w:pPr>
            <w:r>
              <w:rPr>
                <w:b w:val="0"/>
                <w:sz w:val="20"/>
              </w:rPr>
              <w:t>+84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Not stated</w:t>
            </w:r>
          </w:p>
        </w:tc>
        <w:tc>
          <w:tcPr>
            <w:vAlign w:val="center"/>
          </w:tcPr>
          <w:p w:rsidR="001A6775">
            <w:pPr>
              <w:bidi w:val="0"/>
              <w:spacing w:after="0" w:afterAutospacing="1"/>
              <w:jc w:val="right"/>
              <w:rPr>
                <w:b w:val="0"/>
                <w:sz w:val="20"/>
              </w:rPr>
            </w:pPr>
            <w:r>
              <w:rPr>
                <w:b w:val="0"/>
                <w:sz w:val="20"/>
              </w:rPr>
              <w:t>300</w:t>
            </w:r>
          </w:p>
        </w:tc>
        <w:tc>
          <w:tcPr>
            <w:vAlign w:val="center"/>
          </w:tcPr>
          <w:p w:rsidR="001A6775">
            <w:pPr>
              <w:bidi w:val="0"/>
              <w:spacing w:after="0" w:afterAutospacing="1"/>
              <w:jc w:val="right"/>
              <w:rPr>
                <w:b w:val="0"/>
                <w:sz w:val="20"/>
              </w:rPr>
            </w:pPr>
            <w:r>
              <w:rPr>
                <w:b w:val="0"/>
                <w:sz w:val="20"/>
              </w:rPr>
              <w:t>6.2</w:t>
            </w:r>
          </w:p>
        </w:tc>
        <w:tc>
          <w:tcPr>
            <w:vAlign w:val="center"/>
          </w:tcPr>
          <w:p w:rsidR="001A6775">
            <w:pPr>
              <w:bidi w:val="0"/>
              <w:spacing w:after="0" w:afterAutospacing="1"/>
              <w:jc w:val="right"/>
              <w:rPr>
                <w:b w:val="0"/>
                <w:sz w:val="20"/>
              </w:rPr>
            </w:pPr>
            <w:r>
              <w:rPr>
                <w:b w:val="0"/>
                <w:sz w:val="20"/>
              </w:rPr>
              <w:t>4.5</w:t>
            </w:r>
          </w:p>
        </w:tc>
        <w:tc>
          <w:tcPr>
            <w:vAlign w:val="center"/>
          </w:tcPr>
          <w:p w:rsidR="001A6775">
            <w:pPr>
              <w:bidi w:val="0"/>
              <w:spacing w:after="0" w:afterAutospacing="1"/>
              <w:jc w:val="right"/>
              <w:rPr>
                <w:b w:val="0"/>
                <w:sz w:val="20"/>
              </w:rPr>
            </w:pPr>
            <w:r>
              <w:rPr>
                <w:b w:val="0"/>
                <w:sz w:val="20"/>
              </w:rPr>
              <w:t>394</w:t>
            </w:r>
          </w:p>
        </w:tc>
        <w:tc>
          <w:tcPr>
            <w:vAlign w:val="center"/>
          </w:tcPr>
          <w:p w:rsidR="001A6775">
            <w:pPr>
              <w:bidi w:val="0"/>
              <w:spacing w:after="0" w:afterAutospacing="1"/>
              <w:jc w:val="right"/>
              <w:rPr>
                <w:b w:val="0"/>
                <w:sz w:val="20"/>
              </w:rPr>
            </w:pPr>
            <w:r>
              <w:rPr>
                <w:b w:val="0"/>
                <w:sz w:val="20"/>
              </w:rPr>
              <w:t>8.6</w:t>
            </w:r>
          </w:p>
        </w:tc>
        <w:tc>
          <w:tcPr>
            <w:vAlign w:val="center"/>
          </w:tcPr>
          <w:p w:rsidR="001A6775">
            <w:pPr>
              <w:bidi w:val="0"/>
              <w:spacing w:after="0" w:afterAutospacing="1"/>
              <w:jc w:val="right"/>
              <w:rPr>
                <w:b w:val="0"/>
                <w:sz w:val="20"/>
              </w:rPr>
            </w:pPr>
            <w:r>
              <w:rPr>
                <w:b w:val="0"/>
                <w:sz w:val="20"/>
              </w:rPr>
              <w:t>8.0</w:t>
            </w:r>
          </w:p>
        </w:tc>
        <w:tc>
          <w:tcPr>
            <w:vAlign w:val="center"/>
          </w:tcPr>
          <w:p w:rsidR="001A6775">
            <w:pPr>
              <w:bidi w:val="0"/>
              <w:spacing w:after="0" w:afterAutospacing="1"/>
              <w:jc w:val="right"/>
              <w:rPr>
                <w:b w:val="0"/>
                <w:sz w:val="20"/>
              </w:rPr>
            </w:pPr>
            <w:r>
              <w:rPr>
                <w:b w:val="0"/>
                <w:sz w:val="20"/>
              </w:rPr>
              <w:t>-94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Total households</w:t>
            </w:r>
          </w:p>
        </w:tc>
        <w:tc>
          <w:tcPr>
            <w:vAlign w:val="center"/>
          </w:tcPr>
          <w:p w:rsidR="001A6775">
            <w:pPr>
              <w:bidi w:val="0"/>
              <w:spacing w:after="0" w:afterAutospacing="1"/>
              <w:jc w:val="right"/>
              <w:rPr>
                <w:b/>
                <w:sz w:val="20"/>
              </w:rPr>
            </w:pPr>
            <w:r>
              <w:rPr>
                <w:b/>
                <w:sz w:val="20"/>
              </w:rPr>
              <w:t>4,847</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4,608</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+239</w:t>
            </w:r>
          </w:p>
        </w:tc>
      </w:tr>
    </w:tbl>
    <w:p w:rsidR="001A6775">
      <w:pPr>
        <w:bidi w:val="0"/>
        <w:spacing w:after="0" w:afterAutospacing="1"/>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286pt;width:481pt">
            <v:imagedata r:id="rId5" o:title=""/>
          </v:shape>
        </w:pict>
      </w:r>
    </w:p>
    <w:p w:rsidR="001A6775">
      <w:pPr>
        <w:bidi w:val="0"/>
        <w:spacing w:after="0" w:afterAutospacing="1"/>
        <w:jc w:val="center"/>
      </w:pPr>
      <w:r>
        <w:pict>
          <v:shape id="_x0000_i1026" type="#_x0000_t75" style="height:286pt;width:481pt">
            <v:imagedata r:id="rId6" o:title=""/>
          </v:shape>
        </w:pict>
      </w:r>
    </w:p>
    <w:p w:rsidR="001A6775">
      <w:pPr>
        <w:bidi w:val="0"/>
        <w:spacing w:after="280" w:afterAutospacing="1"/>
      </w:pPr>
      <w:r>
        <w:rPr>
          <w:rtl w:val="0"/>
        </w:rPr>
        <w:t>Analysis of the car ownership of the households in Fawkner in 2021 compared to the City of Merri-bek shows that 84.2% of the households owned at least one car, while 9.6% did not, compared with 82.9% and 12.6% respectively in the City of Merri-bek.</w:t>
      </w:r>
    </w:p>
    <w:p>
      <w:pPr>
        <w:bidi w:val="0"/>
        <w:spacing w:after="280" w:afterAutospacing="1"/>
        <w:rPr>
          <w:rtl w:val="0"/>
        </w:rPr>
      </w:pPr>
      <w:r>
        <w:rPr>
          <w:rtl w:val="0"/>
        </w:rPr>
        <w:t>Of those that owned at least one vehicle, there was a smaller proportion who owned just one car; a larger proportion who owned two cars; and a larger proportion who owned three cars or more.</w:t>
      </w:r>
    </w:p>
    <w:p>
      <w:pPr>
        <w:bidi w:val="0"/>
        <w:spacing w:after="280" w:afterAutospacing="1"/>
        <w:rPr>
          <w:rtl w:val="0"/>
        </w:rPr>
      </w:pPr>
      <w:r>
        <w:rPr>
          <w:rtl w:val="0"/>
        </w:rPr>
        <w:t>Overall, 39.0% of the households owned one car; 30.3% owned two cars; and 14.9% owned three cars or more, compared with 45.3%; 27.4% and 10.2% respectively for the City of Merri-bek.</w:t>
      </w:r>
    </w:p>
    <w:p w:rsidR="001A6775">
      <w:pPr>
        <w:bidi w:val="0"/>
        <w:spacing w:after="280" w:afterAutospacing="1"/>
      </w:pPr>
      <w:r>
        <w:rPr>
          <w:rtl w:val="0"/>
        </w:rPr>
        <w:t>The largest changes in the household car ownership in Fawkner between 2016 and 2021 were:</w:t>
      </w:r>
    </w:p>
    <w:p>
      <w:pPr>
        <w:numPr>
          <w:ilvl w:val="0"/>
          <w:numId w:val="1"/>
        </w:numPr>
        <w:bidi w:val="0"/>
        <w:spacing w:after="0" w:afterAutospacing="0"/>
        <w:rPr>
          <w:rtl w:val="0"/>
        </w:rPr>
      </w:pPr>
      <w:r>
        <w:rPr>
          <w:rtl w:val="0"/>
        </w:rPr>
        <w:t>2 motor vehicles (+143 households)</w:t>
      </w:r>
    </w:p>
    <w:p>
      <w:pPr>
        <w:numPr>
          <w:ilvl w:val="0"/>
          <w:numId w:val="1"/>
        </w:numPr>
        <w:bidi w:val="0"/>
        <w:spacing w:after="0" w:afterAutospacing="0"/>
        <w:ind w:left="720"/>
        <w:rPr>
          <w:rtl w:val="0"/>
        </w:rPr>
      </w:pPr>
      <w:r>
        <w:rPr>
          <w:rtl w:val="0"/>
        </w:rPr>
        <w:t>1 motor vehicle (+121 households)</w:t>
      </w:r>
    </w:p>
    <w:p>
      <w:pPr>
        <w:numPr>
          <w:ilvl w:val="0"/>
          <w:numId w:val="1"/>
        </w:numPr>
        <w:bidi w:val="0"/>
        <w:spacing w:after="280" w:afterAutospacing="1"/>
        <w:ind w:left="720"/>
        <w:rPr>
          <w:rtl w:val="0"/>
        </w:rPr>
      </w:pPr>
      <w:r>
        <w:rPr>
          <w:rtl w:val="0"/>
        </w:rPr>
        <w:t>3 or more motor vehicles (+84 households)</w:t>
      </w:r>
    </w:p>
    <w:p w:rsidR="001A6775">
      <w:pPr>
        <w:bidi w:val="0"/>
        <w:spacing w:after="280" w:afterAutospacing="1"/>
      </w:pPr>
    </w:p>
    <w:sectPr w:rsidSect="001A677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