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Number of cars per household</w:t>
      </w:r>
    </w:p>
    <w:p w:rsidR="001A6775">
      <w:pPr>
        <w:bidi w:val="0"/>
        <w:spacing w:after="280" w:afterAutospacing="1"/>
      </w:pPr>
      <w:r>
        <w:rPr>
          <w:rtl w:val="0"/>
        </w:rPr>
        <w:t xml:space="preserve">The ability of the population to access services and employment is strongly influenced by access to transport. The number of motor vehicles per household in Brunswick East quantifies access to private transport and will be influenced by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and </w:t>
      </w:r>
      <w:r>
        <w:rPr>
          <w:rtl w:val="0"/>
        </w:rPr>
        <w:fldChar w:fldCharType="begin"/>
      </w:r>
      <w:r>
        <w:rPr>
          <w:rtl w:val="0"/>
        </w:rPr>
        <w:instrText xml:space="preserve"> HYPERLINK "households?[QS]" </w:instrText>
      </w:r>
      <w:r>
        <w:rPr>
          <w:rtl w:val="0"/>
        </w:rPr>
        <w:fldChar w:fldCharType="separate"/>
      </w:r>
      <w:r>
        <w:rPr>
          <w:color w:val="0000FF"/>
          <w:u w:val="single"/>
          <w:rtl w:val="0"/>
        </w:rPr>
        <w:t>Household Type</w:t>
      </w:r>
      <w:r>
        <w:rPr>
          <w:rtl w:val="0"/>
        </w:rPr>
        <w:fldChar w:fldCharType="end"/>
      </w:r>
      <w:r>
        <w:rPr>
          <w:rtl w:val="0"/>
        </w:rPr>
        <w:t xml:space="preserve">, which determine the number of adults present; access to </w:t>
      </w:r>
      <w:r>
        <w:rPr>
          <w:rtl w:val="0"/>
        </w:rPr>
        <w:fldChar w:fldCharType="begin"/>
      </w:r>
      <w:r>
        <w:rPr>
          <w:rtl w:val="0"/>
        </w:rPr>
        <w:instrText xml:space="preserve"> HYPERLINK "travel-to-work?[QS]" </w:instrText>
      </w:r>
      <w:r>
        <w:rPr>
          <w:rtl w:val="0"/>
        </w:rPr>
        <w:fldChar w:fldCharType="separate"/>
      </w:r>
      <w:r>
        <w:rPr>
          <w:color w:val="0000FF"/>
          <w:u w:val="single"/>
          <w:rtl w:val="0"/>
        </w:rPr>
        <w:t>Public Transport</w:t>
      </w:r>
      <w:r>
        <w:rPr>
          <w:rtl w:val="0"/>
        </w:rPr>
        <w:fldChar w:fldCharType="end"/>
      </w:r>
      <w:r>
        <w:rPr>
          <w:rtl w:val="0"/>
        </w:rPr>
        <w:t xml:space="preserve">; distance to shops, services, employment and education; and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Depending on these factors, car ownership can be seen as a measure of advantage or disadvantage, or a neutral socio-economic measure, which impacts on the environment and quality of life.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Car ownership</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Brunswick East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Number of cars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 motor vehicles</w:t>
            </w:r>
          </w:p>
        </w:tc>
        <w:tc>
          <w:tcPr>
            <w:vAlign w:val="center"/>
          </w:tcPr>
          <w:p w:rsidR="001A6775">
            <w:pPr>
              <w:bidi w:val="0"/>
              <w:spacing w:after="0" w:afterAutospacing="1"/>
              <w:jc w:val="right"/>
              <w:rPr>
                <w:b w:val="0"/>
                <w:sz w:val="20"/>
              </w:rPr>
            </w:pPr>
            <w:r>
              <w:rPr>
                <w:b w:val="0"/>
                <w:sz w:val="20"/>
              </w:rPr>
              <w:t>1,255</w:t>
            </w:r>
          </w:p>
        </w:tc>
        <w:tc>
          <w:tcPr>
            <w:vAlign w:val="center"/>
          </w:tcPr>
          <w:p w:rsidR="001A6775">
            <w:pPr>
              <w:bidi w:val="0"/>
              <w:spacing w:after="0" w:afterAutospacing="1"/>
              <w:jc w:val="right"/>
              <w:rPr>
                <w:b w:val="0"/>
                <w:sz w:val="20"/>
              </w:rPr>
            </w:pPr>
            <w:r>
              <w:rPr>
                <w:b w:val="0"/>
                <w:sz w:val="20"/>
              </w:rPr>
              <w:t>18.0</w:t>
            </w:r>
          </w:p>
        </w:tc>
        <w:tc>
          <w:tcPr>
            <w:vAlign w:val="center"/>
          </w:tcPr>
          <w:p w:rsidR="001A6775">
            <w:pPr>
              <w:bidi w:val="0"/>
              <w:spacing w:after="0" w:afterAutospacing="1"/>
              <w:jc w:val="right"/>
              <w:rPr>
                <w:b w:val="0"/>
                <w:sz w:val="20"/>
              </w:rPr>
            </w:pPr>
            <w:r>
              <w:rPr>
                <w:b w:val="0"/>
                <w:sz w:val="20"/>
              </w:rPr>
              <w:t>12.6</w:t>
            </w:r>
          </w:p>
        </w:tc>
        <w:tc>
          <w:tcPr>
            <w:vAlign w:val="center"/>
          </w:tcPr>
          <w:p w:rsidR="001A6775">
            <w:pPr>
              <w:bidi w:val="0"/>
              <w:spacing w:after="0" w:afterAutospacing="1"/>
              <w:jc w:val="right"/>
              <w:rPr>
                <w:b w:val="0"/>
                <w:sz w:val="20"/>
              </w:rPr>
            </w:pPr>
            <w:r>
              <w:rPr>
                <w:b w:val="0"/>
                <w:sz w:val="20"/>
              </w:rPr>
              <w:t>993</w:t>
            </w:r>
          </w:p>
        </w:tc>
        <w:tc>
          <w:tcPr>
            <w:vAlign w:val="center"/>
          </w:tcPr>
          <w:p w:rsidR="001A6775">
            <w:pPr>
              <w:bidi w:val="0"/>
              <w:spacing w:after="0" w:afterAutospacing="1"/>
              <w:jc w:val="right"/>
              <w:rPr>
                <w:b w:val="0"/>
                <w:sz w:val="20"/>
              </w:rPr>
            </w:pPr>
            <w:r>
              <w:rPr>
                <w:b w:val="0"/>
                <w:sz w:val="20"/>
              </w:rPr>
              <w:t>17.5</w:t>
            </w:r>
          </w:p>
        </w:tc>
        <w:tc>
          <w:tcPr>
            <w:vAlign w:val="center"/>
          </w:tcPr>
          <w:p w:rsidR="001A6775">
            <w:pPr>
              <w:bidi w:val="0"/>
              <w:spacing w:after="0" w:afterAutospacing="1"/>
              <w:jc w:val="right"/>
              <w:rPr>
                <w:b w:val="0"/>
                <w:sz w:val="20"/>
              </w:rPr>
            </w:pPr>
            <w:r>
              <w:rPr>
                <w:b w:val="0"/>
                <w:sz w:val="20"/>
              </w:rPr>
              <w:t>13.0</w:t>
            </w:r>
          </w:p>
        </w:tc>
        <w:tc>
          <w:tcPr>
            <w:vAlign w:val="center"/>
          </w:tcPr>
          <w:p w:rsidR="001A6775">
            <w:pPr>
              <w:bidi w:val="0"/>
              <w:spacing w:after="0" w:afterAutospacing="1"/>
              <w:jc w:val="right"/>
              <w:rPr>
                <w:b w:val="0"/>
                <w:sz w:val="20"/>
              </w:rPr>
            </w:pPr>
            <w:r>
              <w:rPr>
                <w:b w:val="0"/>
                <w:sz w:val="20"/>
              </w:rPr>
              <w:t>+262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1 motor vehicle</w:t>
            </w:r>
          </w:p>
        </w:tc>
        <w:tc>
          <w:tcPr>
            <w:vAlign w:val="center"/>
          </w:tcPr>
          <w:p w:rsidR="001A6775">
            <w:pPr>
              <w:bidi w:val="0"/>
              <w:spacing w:after="0" w:afterAutospacing="1"/>
              <w:jc w:val="right"/>
              <w:rPr>
                <w:b w:val="0"/>
                <w:sz w:val="20"/>
              </w:rPr>
            </w:pPr>
            <w:r>
              <w:rPr>
                <w:b w:val="0"/>
                <w:sz w:val="20"/>
              </w:rPr>
              <w:t>3,822</w:t>
            </w:r>
          </w:p>
        </w:tc>
        <w:tc>
          <w:tcPr>
            <w:vAlign w:val="center"/>
          </w:tcPr>
          <w:p w:rsidR="001A6775">
            <w:pPr>
              <w:bidi w:val="0"/>
              <w:spacing w:after="0" w:afterAutospacing="1"/>
              <w:jc w:val="right"/>
              <w:rPr>
                <w:b w:val="0"/>
                <w:sz w:val="20"/>
              </w:rPr>
            </w:pPr>
            <w:r>
              <w:rPr>
                <w:b w:val="0"/>
                <w:sz w:val="20"/>
              </w:rPr>
              <w:t>54.8</w:t>
            </w:r>
          </w:p>
        </w:tc>
        <w:tc>
          <w:tcPr>
            <w:vAlign w:val="center"/>
          </w:tcPr>
          <w:p w:rsidR="001A6775">
            <w:pPr>
              <w:bidi w:val="0"/>
              <w:spacing w:after="0" w:afterAutospacing="1"/>
              <w:jc w:val="right"/>
              <w:rPr>
                <w:b w:val="0"/>
                <w:sz w:val="20"/>
              </w:rPr>
            </w:pPr>
            <w:r>
              <w:rPr>
                <w:b w:val="0"/>
                <w:sz w:val="20"/>
              </w:rPr>
              <w:t>45.3</w:t>
            </w:r>
          </w:p>
        </w:tc>
        <w:tc>
          <w:tcPr>
            <w:vAlign w:val="center"/>
          </w:tcPr>
          <w:p w:rsidR="001A6775">
            <w:pPr>
              <w:bidi w:val="0"/>
              <w:spacing w:after="0" w:afterAutospacing="1"/>
              <w:jc w:val="right"/>
              <w:rPr>
                <w:b w:val="0"/>
                <w:sz w:val="20"/>
              </w:rPr>
            </w:pPr>
            <w:r>
              <w:rPr>
                <w:b w:val="0"/>
                <w:sz w:val="20"/>
              </w:rPr>
              <w:t>2,772</w:t>
            </w:r>
          </w:p>
        </w:tc>
        <w:tc>
          <w:tcPr>
            <w:vAlign w:val="center"/>
          </w:tcPr>
          <w:p w:rsidR="001A6775">
            <w:pPr>
              <w:bidi w:val="0"/>
              <w:spacing w:after="0" w:afterAutospacing="1"/>
              <w:jc w:val="right"/>
              <w:rPr>
                <w:b w:val="0"/>
                <w:sz w:val="20"/>
              </w:rPr>
            </w:pPr>
            <w:r>
              <w:rPr>
                <w:b w:val="0"/>
                <w:sz w:val="20"/>
              </w:rPr>
              <w:t>49.0</w:t>
            </w:r>
          </w:p>
        </w:tc>
        <w:tc>
          <w:tcPr>
            <w:vAlign w:val="center"/>
          </w:tcPr>
          <w:p w:rsidR="001A6775">
            <w:pPr>
              <w:bidi w:val="0"/>
              <w:spacing w:after="0" w:afterAutospacing="1"/>
              <w:jc w:val="right"/>
              <w:rPr>
                <w:b w:val="0"/>
                <w:sz w:val="20"/>
              </w:rPr>
            </w:pPr>
            <w:r>
              <w:rPr>
                <w:b w:val="0"/>
                <w:sz w:val="20"/>
              </w:rPr>
              <w:t>41.8</w:t>
            </w:r>
          </w:p>
        </w:tc>
        <w:tc>
          <w:tcPr>
            <w:vAlign w:val="center"/>
          </w:tcPr>
          <w:p w:rsidR="001A6775">
            <w:pPr>
              <w:bidi w:val="0"/>
              <w:spacing w:after="0" w:afterAutospacing="1"/>
              <w:jc w:val="right"/>
              <w:rPr>
                <w:b w:val="0"/>
                <w:sz w:val="20"/>
              </w:rPr>
            </w:pPr>
            <w:r>
              <w:rPr>
                <w:b w:val="0"/>
                <w:sz w:val="20"/>
              </w:rPr>
              <w:t>+1,049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 motor vehicles</w:t>
            </w:r>
          </w:p>
        </w:tc>
        <w:tc>
          <w:tcPr>
            <w:vAlign w:val="center"/>
          </w:tcPr>
          <w:p w:rsidR="001A6775">
            <w:pPr>
              <w:bidi w:val="0"/>
              <w:spacing w:after="0" w:afterAutospacing="1"/>
              <w:jc w:val="right"/>
              <w:rPr>
                <w:b w:val="0"/>
                <w:sz w:val="20"/>
              </w:rPr>
            </w:pPr>
            <w:r>
              <w:rPr>
                <w:b w:val="0"/>
                <w:sz w:val="20"/>
              </w:rPr>
              <w:t>1,256</w:t>
            </w:r>
          </w:p>
        </w:tc>
        <w:tc>
          <w:tcPr>
            <w:vAlign w:val="center"/>
          </w:tcPr>
          <w:p w:rsidR="001A6775">
            <w:pPr>
              <w:bidi w:val="0"/>
              <w:spacing w:after="0" w:afterAutospacing="1"/>
              <w:jc w:val="right"/>
              <w:rPr>
                <w:b w:val="0"/>
                <w:sz w:val="20"/>
              </w:rPr>
            </w:pPr>
            <w:r>
              <w:rPr>
                <w:b w:val="0"/>
                <w:sz w:val="20"/>
              </w:rPr>
              <w:t>18.0</w:t>
            </w:r>
          </w:p>
        </w:tc>
        <w:tc>
          <w:tcPr>
            <w:vAlign w:val="center"/>
          </w:tcPr>
          <w:p w:rsidR="001A6775">
            <w:pPr>
              <w:bidi w:val="0"/>
              <w:spacing w:after="0" w:afterAutospacing="1"/>
              <w:jc w:val="right"/>
              <w:rPr>
                <w:b w:val="0"/>
                <w:sz w:val="20"/>
              </w:rPr>
            </w:pPr>
            <w:r>
              <w:rPr>
                <w:b w:val="0"/>
                <w:sz w:val="20"/>
              </w:rPr>
              <w:t>27.4</w:t>
            </w:r>
          </w:p>
        </w:tc>
        <w:tc>
          <w:tcPr>
            <w:vAlign w:val="center"/>
          </w:tcPr>
          <w:p w:rsidR="001A6775">
            <w:pPr>
              <w:bidi w:val="0"/>
              <w:spacing w:after="0" w:afterAutospacing="1"/>
              <w:jc w:val="right"/>
              <w:rPr>
                <w:b w:val="0"/>
                <w:sz w:val="20"/>
              </w:rPr>
            </w:pPr>
            <w:r>
              <w:rPr>
                <w:b w:val="0"/>
                <w:sz w:val="20"/>
              </w:rPr>
              <w:t>1,154</w:t>
            </w:r>
          </w:p>
        </w:tc>
        <w:tc>
          <w:tcPr>
            <w:vAlign w:val="center"/>
          </w:tcPr>
          <w:p w:rsidR="001A6775">
            <w:pPr>
              <w:bidi w:val="0"/>
              <w:spacing w:after="0" w:afterAutospacing="1"/>
              <w:jc w:val="right"/>
              <w:rPr>
                <w:b w:val="0"/>
                <w:sz w:val="20"/>
              </w:rPr>
            </w:pPr>
            <w:r>
              <w:rPr>
                <w:b w:val="0"/>
                <w:sz w:val="20"/>
              </w:rPr>
              <w:t>20.4</w:t>
            </w:r>
          </w:p>
        </w:tc>
        <w:tc>
          <w:tcPr>
            <w:vAlign w:val="center"/>
          </w:tcPr>
          <w:p w:rsidR="001A6775">
            <w:pPr>
              <w:bidi w:val="0"/>
              <w:spacing w:after="0" w:afterAutospacing="1"/>
              <w:jc w:val="right"/>
              <w:rPr>
                <w:b w:val="0"/>
                <w:sz w:val="20"/>
              </w:rPr>
            </w:pPr>
            <w:r>
              <w:rPr>
                <w:b w:val="0"/>
                <w:sz w:val="20"/>
              </w:rPr>
              <w:t>27.3</w:t>
            </w:r>
          </w:p>
        </w:tc>
        <w:tc>
          <w:tcPr>
            <w:vAlign w:val="center"/>
          </w:tcPr>
          <w:p w:rsidR="001A6775">
            <w:pPr>
              <w:bidi w:val="0"/>
              <w:spacing w:after="0" w:afterAutospacing="1"/>
              <w:jc w:val="right"/>
              <w:rPr>
                <w:b w:val="0"/>
                <w:sz w:val="20"/>
              </w:rPr>
            </w:pPr>
            <w:r>
              <w:rPr>
                <w:b w:val="0"/>
                <w:sz w:val="20"/>
              </w:rPr>
              <w:t>+101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3 or more motor vehicles</w:t>
            </w:r>
          </w:p>
        </w:tc>
        <w:tc>
          <w:tcPr>
            <w:vAlign w:val="center"/>
          </w:tcPr>
          <w:p w:rsidR="001A6775">
            <w:pPr>
              <w:bidi w:val="0"/>
              <w:spacing w:after="0" w:afterAutospacing="1"/>
              <w:jc w:val="right"/>
              <w:rPr>
                <w:b w:val="0"/>
                <w:sz w:val="20"/>
              </w:rPr>
            </w:pPr>
            <w:r>
              <w:rPr>
                <w:b w:val="0"/>
                <w:sz w:val="20"/>
              </w:rPr>
              <w:t>361</w:t>
            </w:r>
          </w:p>
        </w:tc>
        <w:tc>
          <w:tcPr>
            <w:vAlign w:val="center"/>
          </w:tcPr>
          <w:p w:rsidR="001A6775">
            <w:pPr>
              <w:bidi w:val="0"/>
              <w:spacing w:after="0" w:afterAutospacing="1"/>
              <w:jc w:val="right"/>
              <w:rPr>
                <w:b w:val="0"/>
                <w:sz w:val="20"/>
              </w:rPr>
            </w:pPr>
            <w:r>
              <w:rPr>
                <w:b w:val="0"/>
                <w:sz w:val="20"/>
              </w:rPr>
              <w:t>5.2</w:t>
            </w:r>
          </w:p>
        </w:tc>
        <w:tc>
          <w:tcPr>
            <w:vAlign w:val="center"/>
          </w:tcPr>
          <w:p w:rsidR="001A6775">
            <w:pPr>
              <w:bidi w:val="0"/>
              <w:spacing w:after="0" w:afterAutospacing="1"/>
              <w:jc w:val="right"/>
              <w:rPr>
                <w:b w:val="0"/>
                <w:sz w:val="20"/>
              </w:rPr>
            </w:pPr>
            <w:r>
              <w:rPr>
                <w:b w:val="0"/>
                <w:sz w:val="20"/>
              </w:rPr>
              <w:t>10.2</w:t>
            </w:r>
          </w:p>
        </w:tc>
        <w:tc>
          <w:tcPr>
            <w:vAlign w:val="center"/>
          </w:tcPr>
          <w:p w:rsidR="001A6775">
            <w:pPr>
              <w:bidi w:val="0"/>
              <w:spacing w:after="0" w:afterAutospacing="1"/>
              <w:jc w:val="right"/>
              <w:rPr>
                <w:b w:val="0"/>
                <w:sz w:val="20"/>
              </w:rPr>
            </w:pPr>
            <w:r>
              <w:rPr>
                <w:b w:val="0"/>
                <w:sz w:val="20"/>
              </w:rPr>
              <w:t>276</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+85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283</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465</w:t>
            </w:r>
          </w:p>
        </w:tc>
        <w:tc>
          <w:tcPr>
            <w:vAlign w:val="center"/>
          </w:tcPr>
          <w:p w:rsidR="001A6775">
            <w:pPr>
              <w:bidi w:val="0"/>
              <w:spacing w:after="0" w:afterAutospacing="1"/>
              <w:jc w:val="right"/>
              <w:rPr>
                <w:b w:val="0"/>
                <w:sz w:val="20"/>
              </w:rPr>
            </w:pPr>
            <w:r>
              <w:rPr>
                <w:b w:val="0"/>
                <w:sz w:val="20"/>
              </w:rPr>
              <w:t>8.2</w:t>
            </w:r>
          </w:p>
        </w:tc>
        <w:tc>
          <w:tcPr>
            <w:vAlign w:val="center"/>
          </w:tcPr>
          <w:p w:rsidR="001A6775">
            <w:pPr>
              <w:bidi w:val="0"/>
              <w:spacing w:after="0" w:afterAutospacing="1"/>
              <w:jc w:val="right"/>
              <w:rPr>
                <w:b w:val="0"/>
                <w:sz w:val="20"/>
              </w:rPr>
            </w:pPr>
            <w:r>
              <w:rPr>
                <w:b w:val="0"/>
                <w:sz w:val="20"/>
              </w:rPr>
              <w:t>8.0</w:t>
            </w:r>
          </w:p>
        </w:tc>
        <w:tc>
          <w:tcPr>
            <w:vAlign w:val="center"/>
          </w:tcPr>
          <w:p w:rsidR="001A6775">
            <w:pPr>
              <w:bidi w:val="0"/>
              <w:spacing w:after="0" w:afterAutospacing="1"/>
              <w:jc w:val="right"/>
              <w:rPr>
                <w:b w:val="0"/>
                <w:sz w:val="20"/>
              </w:rPr>
            </w:pPr>
            <w:r>
              <w:rPr>
                <w:b w:val="0"/>
                <w:sz w:val="20"/>
              </w:rPr>
              <w:t>-183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households</w:t>
            </w:r>
          </w:p>
        </w:tc>
        <w:tc>
          <w:tcPr>
            <w:vAlign w:val="center"/>
          </w:tcPr>
          <w:p w:rsidR="001A6775">
            <w:pPr>
              <w:bidi w:val="0"/>
              <w:spacing w:after="0" w:afterAutospacing="1"/>
              <w:jc w:val="right"/>
              <w:rPr>
                <w:b/>
                <w:sz w:val="20"/>
              </w:rPr>
            </w:pPr>
            <w:r>
              <w:rPr>
                <w:b/>
                <w:sz w:val="20"/>
              </w:rPr>
              <w:t>6,977</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5,662</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+1,314</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car ownership of the households in Brunswick East in 2021 compared to the City of Merri-bek shows that 78.0% of the households owned at least one car, while 18.0% did not, compared with 82.9% and 12.6% respectively in the City of Merri-bek.</w:t>
      </w:r>
    </w:p>
    <w:p>
      <w:pPr>
        <w:bidi w:val="0"/>
        <w:spacing w:after="280" w:afterAutospacing="1"/>
        <w:rPr>
          <w:rtl w:val="0"/>
        </w:rPr>
      </w:pPr>
      <w:r>
        <w:rPr>
          <w:rtl w:val="0"/>
        </w:rPr>
        <w:t>Of those that owned at least one vehicle, there was a larger proportion who owned just one car; a smaller proportion who owned two cars; and a smaller proportion who owned three cars or more.</w:t>
      </w:r>
    </w:p>
    <w:p>
      <w:pPr>
        <w:bidi w:val="0"/>
        <w:spacing w:after="280" w:afterAutospacing="1"/>
        <w:rPr>
          <w:rtl w:val="0"/>
        </w:rPr>
      </w:pPr>
      <w:r>
        <w:rPr>
          <w:rtl w:val="0"/>
        </w:rPr>
        <w:t>Overall, 54.8% of the households owned one car; 18.0% owned two cars; and 5.2% owned three cars or more, compared with 45.3%; 27.4% and 10.2% respectively for the City of Merri-bek.</w:t>
      </w:r>
    </w:p>
    <w:p w:rsidR="001A6775">
      <w:pPr>
        <w:bidi w:val="0"/>
        <w:spacing w:after="280" w:afterAutospacing="1"/>
      </w:pPr>
      <w:r>
        <w:rPr>
          <w:rtl w:val="0"/>
        </w:rPr>
        <w:t>The largest changes in the household car ownership in Brunswick East between 2016 and 2021 were:</w:t>
      </w:r>
    </w:p>
    <w:p>
      <w:pPr>
        <w:numPr>
          <w:ilvl w:val="0"/>
          <w:numId w:val="1"/>
        </w:numPr>
        <w:bidi w:val="0"/>
        <w:spacing w:after="0" w:afterAutospacing="0"/>
        <w:rPr>
          <w:rtl w:val="0"/>
        </w:rPr>
      </w:pPr>
      <w:r>
        <w:rPr>
          <w:rtl w:val="0"/>
        </w:rPr>
        <w:t>1 motor vehicle (+1,049 households)</w:t>
      </w:r>
    </w:p>
    <w:p>
      <w:pPr>
        <w:numPr>
          <w:ilvl w:val="0"/>
          <w:numId w:val="1"/>
        </w:numPr>
        <w:bidi w:val="0"/>
        <w:spacing w:after="0" w:afterAutospacing="0"/>
        <w:ind w:left="720"/>
        <w:rPr>
          <w:rtl w:val="0"/>
        </w:rPr>
      </w:pPr>
      <w:r>
        <w:rPr>
          <w:rtl w:val="0"/>
        </w:rPr>
        <w:t>No motor vehicles (+262 households)</w:t>
      </w:r>
    </w:p>
    <w:p>
      <w:pPr>
        <w:numPr>
          <w:ilvl w:val="0"/>
          <w:numId w:val="1"/>
        </w:numPr>
        <w:bidi w:val="0"/>
        <w:spacing w:after="0" w:afterAutospacing="0"/>
        <w:ind w:left="720"/>
        <w:rPr>
          <w:rtl w:val="0"/>
        </w:rPr>
      </w:pPr>
      <w:r>
        <w:rPr>
          <w:rtl w:val="0"/>
        </w:rPr>
        <w:t>2 motor vehicles (+101 households)</w:t>
      </w:r>
    </w:p>
    <w:p>
      <w:pPr>
        <w:numPr>
          <w:ilvl w:val="0"/>
          <w:numId w:val="1"/>
        </w:numPr>
        <w:bidi w:val="0"/>
        <w:spacing w:after="280" w:afterAutospacing="1"/>
        <w:ind w:left="720"/>
        <w:rPr>
          <w:rtl w:val="0"/>
        </w:rPr>
      </w:pPr>
      <w:r>
        <w:rPr>
          <w:rtl w:val="0"/>
        </w:rPr>
        <w:t>3 or more motor vehicles (+85 households)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