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Merri-bek</w:t>
      </w:r>
    </w:p>
    <w:p w:rsidR="001A6775">
      <w:pPr>
        <w:pStyle w:val="Heading4"/>
        <w:bidi w:val="0"/>
        <w:spacing w:after="280" w:afterAutospacing="1"/>
      </w:pPr>
      <w:r>
        <w:rPr>
          <w:rtl w:val="0"/>
        </w:rPr>
        <w:t>Birthplace</w:t>
      </w:r>
    </w:p>
    <w:p w:rsidR="001A6775">
      <w:pPr>
        <w:bidi w:val="0"/>
        <w:spacing w:after="280" w:afterAutospacing="1"/>
      </w:pPr>
      <w:r>
        <w:rPr>
          <w:rtl w:val="0"/>
        </w:rPr>
        <w:t>Country of Birth data identifies where people were born and is indicative of the level of cultural diversity in Hadfield. The mix of Country of Birth groups is also indicative of historical settlement patterns, as source countries for Australia's immigration program have varied significantly over time.</w:t>
      </w:r>
    </w:p>
    <w:p>
      <w:pPr>
        <w:bidi w:val="0"/>
        <w:spacing w:after="280" w:afterAutospacing="1"/>
      </w:pPr>
      <w:r>
        <w:rPr>
          <w:rtl w:val="0"/>
        </w:rPr>
        <w:t xml:space="preserve">To get a more complete picture of cultural and ethnic characteristics, Hadfield's Country of Birth data should be viewed together with </w:t>
      </w:r>
      <w:r>
        <w:rPr>
          <w:rtl w:val="0"/>
        </w:rPr>
        <w:fldChar w:fldCharType="begin"/>
      </w:r>
      <w:r>
        <w:rPr>
          <w:rtl w:val="0"/>
        </w:rPr>
        <w:instrText xml:space="preserve"> HYPERLINK "ancestry?[QS]" </w:instrText>
      </w:r>
      <w:r>
        <w:rPr>
          <w:rtl w:val="0"/>
        </w:rPr>
        <w:fldChar w:fldCharType="separate"/>
      </w:r>
      <w:r>
        <w:rPr>
          <w:color w:val="0000FF"/>
          <w:u w:val="single"/>
          <w:rtl w:val="0"/>
        </w:rPr>
        <w:t>Ancestry</w:t>
      </w:r>
      <w:r>
        <w:rPr>
          <w:rtl w:val="0"/>
        </w:rPr>
        <w:fldChar w:fldCharType="end"/>
      </w:r>
      <w:r>
        <w:rPr>
          <w:rtl w:val="0"/>
        </w:rPr>
        <w:t xml:space="preserve">, </w:t>
      </w:r>
      <w:r>
        <w:rPr>
          <w:rtl w:val="0"/>
        </w:rPr>
        <w:fldChar w:fldCharType="begin"/>
      </w:r>
      <w:r>
        <w:rPr>
          <w:rtl w:val="0"/>
        </w:rPr>
        <w:instrText xml:space="preserve"> HYPERLINK "language?[QS]" </w:instrText>
      </w:r>
      <w:r>
        <w:rPr>
          <w:rtl w:val="0"/>
        </w:rPr>
        <w:fldChar w:fldCharType="separate"/>
      </w:r>
      <w:r>
        <w:rPr>
          <w:color w:val="0000FF"/>
          <w:u w:val="single"/>
          <w:rtl w:val="0"/>
        </w:rPr>
        <w:t>Language Spoken at Home</w:t>
      </w:r>
      <w:r>
        <w:rPr>
          <w:rtl w:val="0"/>
        </w:rPr>
        <w:fldChar w:fldCharType="end"/>
      </w:r>
      <w:r>
        <w:rPr>
          <w:rtl w:val="0"/>
        </w:rPr>
        <w:t xml:space="preserve"> and </w:t>
      </w:r>
      <w:r>
        <w:rPr>
          <w:rtl w:val="0"/>
        </w:rPr>
        <w:fldChar w:fldCharType="begin"/>
      </w:r>
      <w:r>
        <w:rPr>
          <w:rtl w:val="0"/>
        </w:rPr>
        <w:instrText xml:space="preserve"> HYPERLINK "religion?[QS]" </w:instrText>
      </w:r>
      <w:r>
        <w:rPr>
          <w:rtl w:val="0"/>
        </w:rPr>
        <w:fldChar w:fldCharType="separate"/>
      </w:r>
      <w:r>
        <w:rPr>
          <w:color w:val="0000FF"/>
          <w:u w:val="single"/>
          <w:rtl w:val="0"/>
        </w:rPr>
        <w:t>Religion</w:t>
      </w:r>
      <w:r>
        <w:rPr>
          <w:rtl w:val="0"/>
        </w:rPr>
        <w:fldChar w:fldCharType="end"/>
      </w:r>
      <w:r>
        <w:rPr>
          <w:rtl w:val="0"/>
        </w:rPr>
        <w:t>.</w:t>
      </w:r>
    </w:p>
    <w:p>
      <w:pPr>
        <w:bidi w:val="0"/>
        <w:spacing w:after="280" w:afterAutospacing="1"/>
      </w:pPr>
      <w:r>
        <w:rPr>
          <w:i/>
          <w:iCs/>
          <w:rtl w:val="0"/>
        </w:rPr>
        <w:t>Please note: Due to changes in ABS rules around perturbation and additivity of data to protect the confidentiality of individuals, counts of individual birthplace groups and totals derived from them may differ slightly from those published by the ABS. For more information see notes on data confidentiality.</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Birthplace - Summary</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Hadfield - Total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Birthplace</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Total overseas born</w:t>
            </w:r>
          </w:p>
        </w:tc>
        <w:tc>
          <w:tcPr>
            <w:vAlign w:val="center"/>
          </w:tcPr>
          <w:p w:rsidR="001A6775">
            <w:pPr>
              <w:bidi w:val="0"/>
              <w:spacing w:after="0" w:afterAutospacing="1"/>
              <w:jc w:val="right"/>
              <w:rPr>
                <w:b w:val="0"/>
                <w:sz w:val="20"/>
              </w:rPr>
            </w:pPr>
            <w:r>
              <w:rPr>
                <w:b w:val="0"/>
                <w:sz w:val="20"/>
              </w:rPr>
              <w:t>2,049</w:t>
            </w:r>
          </w:p>
        </w:tc>
        <w:tc>
          <w:tcPr>
            <w:vAlign w:val="center"/>
          </w:tcPr>
          <w:p w:rsidR="001A6775">
            <w:pPr>
              <w:bidi w:val="0"/>
              <w:spacing w:after="0" w:afterAutospacing="1"/>
              <w:jc w:val="right"/>
              <w:rPr>
                <w:b w:val="0"/>
                <w:sz w:val="20"/>
              </w:rPr>
            </w:pPr>
            <w:r>
              <w:rPr>
                <w:b w:val="0"/>
                <w:sz w:val="20"/>
              </w:rPr>
              <w:t>32.7</w:t>
            </w:r>
          </w:p>
        </w:tc>
        <w:tc>
          <w:tcPr>
            <w:vAlign w:val="center"/>
          </w:tcPr>
          <w:p w:rsidR="001A6775">
            <w:pPr>
              <w:bidi w:val="0"/>
              <w:spacing w:after="0" w:afterAutospacing="1"/>
              <w:jc w:val="right"/>
              <w:rPr>
                <w:b w:val="0"/>
                <w:sz w:val="20"/>
              </w:rPr>
            </w:pPr>
            <w:r>
              <w:rPr>
                <w:b w:val="0"/>
                <w:sz w:val="20"/>
              </w:rPr>
              <w:t>32.9</w:t>
            </w:r>
          </w:p>
        </w:tc>
        <w:tc>
          <w:tcPr>
            <w:vAlign w:val="center"/>
          </w:tcPr>
          <w:p w:rsidR="001A6775">
            <w:pPr>
              <w:bidi w:val="0"/>
              <w:spacing w:after="0" w:afterAutospacing="1"/>
              <w:jc w:val="right"/>
              <w:rPr>
                <w:b w:val="0"/>
                <w:sz w:val="20"/>
              </w:rPr>
            </w:pPr>
            <w:r>
              <w:rPr>
                <w:b w:val="0"/>
                <w:sz w:val="20"/>
              </w:rPr>
              <w:t>1,966</w:t>
            </w:r>
          </w:p>
        </w:tc>
        <w:tc>
          <w:tcPr>
            <w:vAlign w:val="center"/>
          </w:tcPr>
          <w:p w:rsidR="001A6775">
            <w:pPr>
              <w:bidi w:val="0"/>
              <w:spacing w:after="0" w:afterAutospacing="1"/>
              <w:jc w:val="right"/>
              <w:rPr>
                <w:b w:val="0"/>
                <w:sz w:val="20"/>
              </w:rPr>
            </w:pPr>
            <w:r>
              <w:rPr>
                <w:b w:val="0"/>
                <w:sz w:val="20"/>
              </w:rPr>
              <w:t>33.1</w:t>
            </w:r>
          </w:p>
        </w:tc>
        <w:tc>
          <w:tcPr>
            <w:vAlign w:val="center"/>
          </w:tcPr>
          <w:p w:rsidR="001A6775">
            <w:pPr>
              <w:bidi w:val="0"/>
              <w:spacing w:after="0" w:afterAutospacing="1"/>
              <w:jc w:val="right"/>
              <w:rPr>
                <w:b w:val="0"/>
                <w:sz w:val="20"/>
              </w:rPr>
            </w:pPr>
            <w:r>
              <w:rPr>
                <w:b w:val="0"/>
                <w:sz w:val="20"/>
              </w:rPr>
              <w:t>33.9</w:t>
            </w:r>
          </w:p>
        </w:tc>
        <w:tc>
          <w:tcPr>
            <w:vAlign w:val="center"/>
          </w:tcPr>
          <w:p w:rsidR="001A6775">
            <w:pPr>
              <w:bidi w:val="0"/>
              <w:spacing w:after="0" w:afterAutospacing="1"/>
              <w:jc w:val="right"/>
              <w:rPr>
                <w:b w:val="0"/>
                <w:sz w:val="20"/>
              </w:rPr>
            </w:pPr>
            <w:r>
              <w:rPr>
                <w:b w:val="0"/>
                <w:sz w:val="20"/>
              </w:rPr>
              <w:t>+82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Australia</w:t>
            </w:r>
          </w:p>
        </w:tc>
        <w:tc>
          <w:tcPr>
            <w:vAlign w:val="center"/>
          </w:tcPr>
          <w:p w:rsidR="001A6775">
            <w:pPr>
              <w:bidi w:val="0"/>
              <w:spacing w:after="0" w:afterAutospacing="1"/>
              <w:jc w:val="right"/>
              <w:rPr>
                <w:b w:val="0"/>
                <w:sz w:val="20"/>
              </w:rPr>
            </w:pPr>
            <w:r>
              <w:rPr>
                <w:b w:val="0"/>
                <w:sz w:val="20"/>
              </w:rPr>
              <w:t>3,823</w:t>
            </w:r>
          </w:p>
        </w:tc>
        <w:tc>
          <w:tcPr>
            <w:vAlign w:val="center"/>
          </w:tcPr>
          <w:p w:rsidR="001A6775">
            <w:pPr>
              <w:bidi w:val="0"/>
              <w:spacing w:after="0" w:afterAutospacing="1"/>
              <w:jc w:val="right"/>
              <w:rPr>
                <w:b w:val="0"/>
                <w:sz w:val="20"/>
              </w:rPr>
            </w:pPr>
            <w:r>
              <w:rPr>
                <w:b w:val="0"/>
                <w:sz w:val="20"/>
              </w:rPr>
              <w:t>61.0</w:t>
            </w:r>
          </w:p>
        </w:tc>
        <w:tc>
          <w:tcPr>
            <w:vAlign w:val="center"/>
          </w:tcPr>
          <w:p w:rsidR="001A6775">
            <w:pPr>
              <w:bidi w:val="0"/>
              <w:spacing w:after="0" w:afterAutospacing="1"/>
              <w:jc w:val="right"/>
              <w:rPr>
                <w:b w:val="0"/>
                <w:sz w:val="20"/>
              </w:rPr>
            </w:pPr>
            <w:r>
              <w:rPr>
                <w:b w:val="0"/>
                <w:sz w:val="20"/>
              </w:rPr>
              <w:t>62.9</w:t>
            </w:r>
          </w:p>
        </w:tc>
        <w:tc>
          <w:tcPr>
            <w:vAlign w:val="center"/>
          </w:tcPr>
          <w:p w:rsidR="001A6775">
            <w:pPr>
              <w:bidi w:val="0"/>
              <w:spacing w:after="0" w:afterAutospacing="1"/>
              <w:jc w:val="right"/>
              <w:rPr>
                <w:b w:val="0"/>
                <w:sz w:val="20"/>
              </w:rPr>
            </w:pPr>
            <w:r>
              <w:rPr>
                <w:b w:val="0"/>
                <w:sz w:val="20"/>
              </w:rPr>
              <w:t>3,523</w:t>
            </w:r>
          </w:p>
        </w:tc>
        <w:tc>
          <w:tcPr>
            <w:vAlign w:val="center"/>
          </w:tcPr>
          <w:p w:rsidR="001A6775">
            <w:pPr>
              <w:bidi w:val="0"/>
              <w:spacing w:after="0" w:afterAutospacing="1"/>
              <w:jc w:val="right"/>
              <w:rPr>
                <w:b w:val="0"/>
                <w:sz w:val="20"/>
              </w:rPr>
            </w:pPr>
            <w:r>
              <w:rPr>
                <w:b w:val="0"/>
                <w:sz w:val="20"/>
              </w:rPr>
              <w:t>59.2</w:t>
            </w:r>
          </w:p>
        </w:tc>
        <w:tc>
          <w:tcPr>
            <w:vAlign w:val="center"/>
          </w:tcPr>
          <w:p w:rsidR="001A6775">
            <w:pPr>
              <w:bidi w:val="0"/>
              <w:spacing w:after="0" w:afterAutospacing="1"/>
              <w:jc w:val="right"/>
              <w:rPr>
                <w:b w:val="0"/>
                <w:sz w:val="20"/>
              </w:rPr>
            </w:pPr>
            <w:r>
              <w:rPr>
                <w:b w:val="0"/>
                <w:sz w:val="20"/>
              </w:rPr>
              <w:t>59.2</w:t>
            </w:r>
          </w:p>
        </w:tc>
        <w:tc>
          <w:tcPr>
            <w:vAlign w:val="center"/>
          </w:tcPr>
          <w:p w:rsidR="001A6775">
            <w:pPr>
              <w:bidi w:val="0"/>
              <w:spacing w:after="0" w:afterAutospacing="1"/>
              <w:jc w:val="right"/>
              <w:rPr>
                <w:b w:val="0"/>
                <w:sz w:val="20"/>
              </w:rPr>
            </w:pPr>
            <w:r>
              <w:rPr>
                <w:b w:val="0"/>
                <w:sz w:val="20"/>
              </w:rPr>
              <w:t>+300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395</w:t>
            </w:r>
          </w:p>
        </w:tc>
        <w:tc>
          <w:tcPr>
            <w:vAlign w:val="center"/>
          </w:tcPr>
          <w:p w:rsidR="001A6775">
            <w:pPr>
              <w:bidi w:val="0"/>
              <w:spacing w:after="0" w:afterAutospacing="1"/>
              <w:jc w:val="right"/>
              <w:rPr>
                <w:b w:val="0"/>
                <w:sz w:val="20"/>
              </w:rPr>
            </w:pPr>
            <w:r>
              <w:rPr>
                <w:b w:val="0"/>
                <w:sz w:val="20"/>
              </w:rPr>
              <w:t>6.3</w:t>
            </w:r>
          </w:p>
        </w:tc>
        <w:tc>
          <w:tcPr>
            <w:vAlign w:val="center"/>
          </w:tcPr>
          <w:p w:rsidR="001A6775">
            <w:pPr>
              <w:bidi w:val="0"/>
              <w:spacing w:after="0" w:afterAutospacing="1"/>
              <w:jc w:val="right"/>
              <w:rPr>
                <w:b w:val="0"/>
                <w:sz w:val="20"/>
              </w:rPr>
            </w:pPr>
            <w:r>
              <w:rPr>
                <w:b w:val="0"/>
                <w:sz w:val="20"/>
              </w:rPr>
              <w:t>4.2</w:t>
            </w:r>
          </w:p>
        </w:tc>
        <w:tc>
          <w:tcPr>
            <w:vAlign w:val="center"/>
          </w:tcPr>
          <w:p w:rsidR="001A6775">
            <w:pPr>
              <w:bidi w:val="0"/>
              <w:spacing w:after="0" w:afterAutospacing="1"/>
              <w:jc w:val="right"/>
              <w:rPr>
                <w:b w:val="0"/>
                <w:sz w:val="20"/>
              </w:rPr>
            </w:pPr>
            <w:r>
              <w:rPr>
                <w:b w:val="0"/>
                <w:sz w:val="20"/>
              </w:rPr>
              <w:t>457</w:t>
            </w:r>
          </w:p>
        </w:tc>
        <w:tc>
          <w:tcPr>
            <w:vAlign w:val="center"/>
          </w:tcPr>
          <w:p w:rsidR="001A6775">
            <w:pPr>
              <w:bidi w:val="0"/>
              <w:spacing w:after="0" w:afterAutospacing="1"/>
              <w:jc w:val="right"/>
              <w:rPr>
                <w:b w:val="0"/>
                <w:sz w:val="20"/>
              </w:rPr>
            </w:pPr>
            <w:r>
              <w:rPr>
                <w:b w:val="0"/>
                <w:sz w:val="20"/>
              </w:rPr>
              <w:t>7.7</w:t>
            </w:r>
          </w:p>
        </w:tc>
        <w:tc>
          <w:tcPr>
            <w:vAlign w:val="center"/>
          </w:tcPr>
          <w:p w:rsidR="001A6775">
            <w:pPr>
              <w:bidi w:val="0"/>
              <w:spacing w:after="0" w:afterAutospacing="1"/>
              <w:jc w:val="right"/>
              <w:rPr>
                <w:b w:val="0"/>
                <w:sz w:val="20"/>
              </w:rPr>
            </w:pPr>
            <w:r>
              <w:rPr>
                <w:b w:val="0"/>
                <w:sz w:val="20"/>
              </w:rPr>
              <w:t>6.8</w:t>
            </w:r>
          </w:p>
        </w:tc>
        <w:tc>
          <w:tcPr>
            <w:vAlign w:val="center"/>
          </w:tcPr>
          <w:p w:rsidR="001A6775">
            <w:pPr>
              <w:bidi w:val="0"/>
              <w:spacing w:after="0" w:afterAutospacing="1"/>
              <w:jc w:val="right"/>
              <w:rPr>
                <w:b w:val="0"/>
                <w:sz w:val="20"/>
              </w:rPr>
            </w:pPr>
            <w:r>
              <w:rPr>
                <w:b w:val="0"/>
                <w:sz w:val="20"/>
              </w:rPr>
              <w:t>-62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Population</w:t>
            </w:r>
          </w:p>
        </w:tc>
        <w:tc>
          <w:tcPr>
            <w:vAlign w:val="center"/>
          </w:tcPr>
          <w:p w:rsidR="001A6775">
            <w:pPr>
              <w:bidi w:val="0"/>
              <w:spacing w:after="0" w:afterAutospacing="1"/>
              <w:jc w:val="right"/>
              <w:rPr>
                <w:b/>
                <w:sz w:val="20"/>
              </w:rPr>
            </w:pPr>
            <w:r>
              <w:rPr>
                <w:b/>
                <w:sz w:val="20"/>
              </w:rPr>
              <w:t>6,267</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5,947</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+320</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Birthplace - Ranked by size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Hadfield - Overseas born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Birthplace</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Italy</w:t>
            </w:r>
          </w:p>
        </w:tc>
        <w:tc>
          <w:tcPr>
            <w:vAlign w:val="center"/>
          </w:tcPr>
          <w:p w:rsidR="001A6775">
            <w:pPr>
              <w:bidi w:val="0"/>
              <w:spacing w:after="0" w:afterAutospacing="1"/>
              <w:jc w:val="right"/>
              <w:rPr>
                <w:b w:val="0"/>
                <w:sz w:val="20"/>
              </w:rPr>
            </w:pPr>
            <w:r>
              <w:rPr>
                <w:b w:val="0"/>
                <w:sz w:val="20"/>
              </w:rPr>
              <w:t>329</w:t>
            </w:r>
          </w:p>
        </w:tc>
        <w:tc>
          <w:tcPr>
            <w:vAlign w:val="center"/>
          </w:tcPr>
          <w:p w:rsidR="001A6775">
            <w:pPr>
              <w:bidi w:val="0"/>
              <w:spacing w:after="0" w:afterAutospacing="1"/>
              <w:jc w:val="right"/>
              <w:rPr>
                <w:b w:val="0"/>
                <w:sz w:val="20"/>
              </w:rPr>
            </w:pPr>
            <w:r>
              <w:rPr>
                <w:b w:val="0"/>
                <w:sz w:val="20"/>
              </w:rPr>
              <w:t>5.2</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425</w:t>
            </w:r>
          </w:p>
        </w:tc>
        <w:tc>
          <w:tcPr>
            <w:vAlign w:val="center"/>
          </w:tcPr>
          <w:p w:rsidR="001A6775">
            <w:pPr>
              <w:bidi w:val="0"/>
              <w:spacing w:after="0" w:afterAutospacing="1"/>
              <w:jc w:val="right"/>
              <w:rPr>
                <w:b w:val="0"/>
                <w:sz w:val="20"/>
              </w:rPr>
            </w:pPr>
            <w:r>
              <w:rPr>
                <w:b w:val="0"/>
                <w:sz w:val="20"/>
              </w:rPr>
              <w:t>7.2</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-97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Lebanon</w:t>
            </w:r>
          </w:p>
        </w:tc>
        <w:tc>
          <w:tcPr>
            <w:vAlign w:val="center"/>
          </w:tcPr>
          <w:p w:rsidR="001A6775">
            <w:pPr>
              <w:bidi w:val="0"/>
              <w:spacing w:after="0" w:afterAutospacing="1"/>
              <w:jc w:val="right"/>
              <w:rPr>
                <w:b w:val="0"/>
                <w:sz w:val="20"/>
              </w:rPr>
            </w:pPr>
            <w:r>
              <w:rPr>
                <w:b w:val="0"/>
                <w:sz w:val="20"/>
              </w:rPr>
              <w:t>254</w:t>
            </w:r>
          </w:p>
        </w:tc>
        <w:tc>
          <w:tcPr>
            <w:vAlign w:val="center"/>
          </w:tcPr>
          <w:p w:rsidR="001A6775">
            <w:pPr>
              <w:bidi w:val="0"/>
              <w:spacing w:after="0" w:afterAutospacing="1"/>
              <w:jc w:val="right"/>
              <w:rPr>
                <w:b w:val="0"/>
                <w:sz w:val="20"/>
              </w:rPr>
            </w:pPr>
            <w:r>
              <w:rPr>
                <w:b w:val="0"/>
                <w:sz w:val="20"/>
              </w:rPr>
              <w:t>4.1</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233</w:t>
            </w:r>
          </w:p>
        </w:tc>
        <w:tc>
          <w:tcPr>
            <w:vAlign w:val="center"/>
          </w:tcPr>
          <w:p w:rsidR="001A6775">
            <w:pPr>
              <w:bidi w:val="0"/>
              <w:spacing w:after="0" w:afterAutospacing="1"/>
              <w:jc w:val="right"/>
              <w:rPr>
                <w:b w:val="0"/>
                <w:sz w:val="20"/>
              </w:rPr>
            </w:pPr>
            <w:r>
              <w:rPr>
                <w:b w:val="0"/>
                <w:sz w:val="20"/>
              </w:rPr>
              <w:t>3.9</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+20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Pakistan</w:t>
            </w:r>
          </w:p>
        </w:tc>
        <w:tc>
          <w:tcPr>
            <w:vAlign w:val="center"/>
          </w:tcPr>
          <w:p w:rsidR="001A6775">
            <w:pPr>
              <w:bidi w:val="0"/>
              <w:spacing w:after="0" w:afterAutospacing="1"/>
              <w:jc w:val="right"/>
              <w:rPr>
                <w:b w:val="0"/>
                <w:sz w:val="20"/>
              </w:rPr>
            </w:pPr>
            <w:r>
              <w:rPr>
                <w:b w:val="0"/>
                <w:sz w:val="20"/>
              </w:rPr>
              <w:t>165</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125</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+39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India</w:t>
            </w:r>
          </w:p>
        </w:tc>
        <w:tc>
          <w:tcPr>
            <w:vAlign w:val="center"/>
          </w:tcPr>
          <w:p w:rsidR="001A6775">
            <w:pPr>
              <w:bidi w:val="0"/>
              <w:spacing w:after="0" w:afterAutospacing="1"/>
              <w:jc w:val="right"/>
              <w:rPr>
                <w:b w:val="0"/>
                <w:sz w:val="20"/>
              </w:rPr>
            </w:pPr>
            <w:r>
              <w:rPr>
                <w:b w:val="0"/>
                <w:sz w:val="20"/>
              </w:rPr>
              <w:t>136</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91</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+45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United Kingdom</w:t>
            </w:r>
          </w:p>
        </w:tc>
        <w:tc>
          <w:tcPr>
            <w:vAlign w:val="center"/>
          </w:tcPr>
          <w:p w:rsidR="001A6775">
            <w:pPr>
              <w:bidi w:val="0"/>
              <w:spacing w:after="0" w:afterAutospacing="1"/>
              <w:jc w:val="right"/>
              <w:rPr>
                <w:b w:val="0"/>
                <w:sz w:val="20"/>
              </w:rPr>
            </w:pPr>
            <w:r>
              <w:rPr>
                <w:b w:val="0"/>
                <w:sz w:val="20"/>
              </w:rPr>
              <w:t>96</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65</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Greece</w:t>
            </w:r>
          </w:p>
        </w:tc>
        <w:tc>
          <w:tcPr>
            <w:vAlign w:val="center"/>
          </w:tcPr>
          <w:p w:rsidR="001A6775">
            <w:pPr>
              <w:bidi w:val="0"/>
              <w:spacing w:after="0" w:afterAutospacing="1"/>
              <w:jc w:val="right"/>
              <w:rPr>
                <w:b w:val="0"/>
                <w:sz w:val="20"/>
              </w:rPr>
            </w:pPr>
            <w:r>
              <w:rPr>
                <w:b w:val="0"/>
                <w:sz w:val="20"/>
              </w:rPr>
              <w:t>93</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105</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-13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Malta</w:t>
            </w:r>
          </w:p>
        </w:tc>
        <w:tc>
          <w:tcPr>
            <w:vAlign w:val="center"/>
          </w:tcPr>
          <w:p w:rsidR="001A6775">
            <w:pPr>
              <w:bidi w:val="0"/>
              <w:spacing w:after="0" w:afterAutospacing="1"/>
              <w:jc w:val="right"/>
              <w:rPr>
                <w:b w:val="0"/>
                <w:sz w:val="20"/>
              </w:rPr>
            </w:pPr>
            <w:r>
              <w:rPr>
                <w:b w:val="0"/>
                <w:sz w:val="20"/>
              </w:rPr>
              <w:t>91</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122</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-32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New Zealand</w:t>
            </w:r>
          </w:p>
        </w:tc>
        <w:tc>
          <w:tcPr>
            <w:vAlign w:val="center"/>
          </w:tcPr>
          <w:p w:rsidR="001A6775">
            <w:pPr>
              <w:bidi w:val="0"/>
              <w:spacing w:after="0" w:afterAutospacing="1"/>
              <w:jc w:val="right"/>
              <w:rPr>
                <w:b w:val="0"/>
                <w:sz w:val="20"/>
              </w:rPr>
            </w:pPr>
            <w:r>
              <w:rPr>
                <w:b w:val="0"/>
                <w:sz w:val="20"/>
              </w:rPr>
              <w:t>89</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65</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Turkey</w:t>
            </w:r>
          </w:p>
        </w:tc>
        <w:tc>
          <w:tcPr>
            <w:vAlign w:val="center"/>
          </w:tcPr>
          <w:p w:rsidR="001A6775">
            <w:pPr>
              <w:bidi w:val="0"/>
              <w:spacing w:after="0" w:afterAutospacing="1"/>
              <w:jc w:val="right"/>
              <w:rPr>
                <w:b w:val="0"/>
                <w:sz w:val="20"/>
              </w:rPr>
            </w:pPr>
            <w:r>
              <w:rPr>
                <w:b w:val="0"/>
                <w:sz w:val="20"/>
              </w:rPr>
              <w:t>84</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97</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Philippines</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+14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Iran</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+24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Vietnam</w:t>
            </w:r>
          </w:p>
        </w:tc>
        <w:tc>
          <w:tcPr>
            <w:vAlign w:val="center"/>
          </w:tcPr>
          <w:p w:rsidR="001A6775">
            <w:pPr>
              <w:bidi w:val="0"/>
              <w:spacing w:after="0" w:afterAutospacing="1"/>
              <w:jc w:val="right"/>
              <w:rPr>
                <w:b w:val="0"/>
                <w:sz w:val="20"/>
              </w:rPr>
            </w:pPr>
            <w:r>
              <w:rPr>
                <w:b w:val="0"/>
                <w:sz w:val="20"/>
              </w:rPr>
              <w:t>35</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Syria</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China</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31</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Poland</w:t>
            </w:r>
          </w:p>
        </w:tc>
        <w:tc>
          <w:tcPr>
            <w:vAlign w:val="center"/>
          </w:tcPr>
          <w:p w:rsidR="001A6775">
            <w:pPr>
              <w:bidi w:val="0"/>
              <w:spacing w:after="0" w:afterAutospacing="1"/>
              <w:jc w:val="right"/>
              <w:rPr>
                <w:b w:val="0"/>
                <w:sz w:val="20"/>
              </w:rPr>
            </w:pPr>
            <w:r>
              <w:rPr>
                <w:b w:val="0"/>
                <w:sz w:val="20"/>
              </w:rPr>
              <w:t>29</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+13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Malaysia</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Nepal</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Croatia</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Egypt</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Sri Lanka</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Iraq</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Germany</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Colombia</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6</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Saudi Arabia</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Bangladesh</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7</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United States of America</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1</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Serbia / Montenegro (fmr Yugoslavia)</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Cyprus</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Argentina</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Brazil</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Ireland</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-1</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country of birth of the population in Hadfield in 2021 compared to the City of Merri-bek shows that there was a similar proportion of people born overseas.</w:t>
      </w:r>
    </w:p>
    <w:p>
      <w:pPr>
        <w:bidi w:val="0"/>
        <w:spacing w:after="280" w:afterAutospacing="1"/>
        <w:rPr>
          <w:rtl w:val="0"/>
        </w:rPr>
      </w:pPr>
      <w:r>
        <w:rPr>
          <w:rtl w:val="0"/>
        </w:rPr>
        <w:t>Overall, 32.7% of the population was born overseas, compared with 32.9% for the City of Merri-bek.</w:t>
      </w:r>
    </w:p>
    <w:p>
      <w:pPr>
        <w:bidi w:val="0"/>
        <w:spacing w:after="280" w:afterAutospacing="1"/>
        <w:rPr>
          <w:rtl w:val="0"/>
        </w:rPr>
      </w:pPr>
      <w:r>
        <w:rPr>
          <w:rtl w:val="0"/>
        </w:rPr>
        <w:t>The largest non-English speaking country of birth in Hadfield was Italy, where 5.2% of the population, or 329 people, were born.</w:t>
      </w:r>
    </w:p>
    <w:p>
      <w:pPr>
        <w:bidi w:val="0"/>
        <w:spacing w:after="280" w:afterAutospacing="1"/>
        <w:rPr>
          <w:rtl w:val="0"/>
        </w:rPr>
      </w:pPr>
      <w:r>
        <w:rPr>
          <w:rtl w:val="0"/>
        </w:rPr>
        <w:t>The major differences between the countries of birth of the population in Hadfield and the City of Merri-bek were:</w:t>
      </w:r>
    </w:p>
    <w:p>
      <w:pPr>
        <w:numPr>
          <w:ilvl w:val="0"/>
          <w:numId w:val="1"/>
        </w:numPr>
        <w:bidi w:val="0"/>
        <w:spacing w:after="0" w:afterAutospacing="0"/>
        <w:rPr>
          <w:rtl w:val="0"/>
        </w:rPr>
      </w:pPr>
      <w:r>
        <w:rPr>
          <w:rtl w:val="0"/>
        </w:rPr>
        <w:t xml:space="preserve">A </w:t>
      </w:r>
      <w:r>
        <w:rPr>
          <w:i/>
          <w:iCs/>
          <w:rtl w:val="0"/>
        </w:rPr>
        <w:t>larger</w:t>
      </w:r>
      <w:r>
        <w:rPr>
          <w:rtl w:val="0"/>
        </w:rPr>
        <w:t xml:space="preserve"> percentage of people born in Lebanon (4.1% compared to 1.6%)</w:t>
      </w:r>
    </w:p>
    <w:p>
      <w:pPr>
        <w:numPr>
          <w:ilvl w:val="0"/>
          <w:numId w:val="1"/>
        </w:numPr>
        <w:bidi w:val="0"/>
        <w:spacing w:after="0" w:afterAutospacing="0"/>
        <w:ind w:left="720"/>
        <w:rPr>
          <w:rtl w:val="0"/>
        </w:rPr>
      </w:pPr>
      <w:r>
        <w:rPr>
          <w:rtl w:val="0"/>
        </w:rPr>
        <w:t xml:space="preserve">A </w:t>
      </w:r>
      <w:r>
        <w:rPr>
          <w:i/>
          <w:iCs/>
          <w:rtl w:val="0"/>
        </w:rPr>
        <w:t>larger</w:t>
      </w:r>
      <w:r>
        <w:rPr>
          <w:rtl w:val="0"/>
        </w:rPr>
        <w:t xml:space="preserve"> percentage of people born in Italy (5.2% compared to 3.8%)</w:t>
      </w:r>
    </w:p>
    <w:p>
      <w:pPr>
        <w:numPr>
          <w:ilvl w:val="0"/>
          <w:numId w:val="1"/>
        </w:numPr>
        <w:bidi w:val="0"/>
        <w:spacing w:after="0" w:afterAutospacing="0"/>
        <w:ind w:left="720"/>
        <w:rPr>
          <w:rtl w:val="0"/>
        </w:rPr>
      </w:pPr>
      <w:r>
        <w:rPr>
          <w:rtl w:val="0"/>
        </w:rPr>
        <w:t xml:space="preserve">A </w:t>
      </w:r>
      <w:r>
        <w:rPr>
          <w:i/>
          <w:iCs/>
          <w:rtl w:val="0"/>
        </w:rPr>
        <w:t>larger</w:t>
      </w:r>
      <w:r>
        <w:rPr>
          <w:rtl w:val="0"/>
        </w:rPr>
        <w:t xml:space="preserve"> percentage of people born in Pakistan (2.6% compared to 1.5%)</w:t>
      </w:r>
    </w:p>
    <w:p>
      <w:pPr>
        <w:numPr>
          <w:ilvl w:val="0"/>
          <w:numId w:val="1"/>
        </w:numPr>
        <w:bidi w:val="0"/>
        <w:spacing w:after="280" w:afterAutospacing="1"/>
        <w:ind w:left="720"/>
        <w:rPr>
          <w:rtl w:val="0"/>
        </w:rPr>
      </w:pPr>
      <w:r>
        <w:rPr>
          <w:rtl w:val="0"/>
        </w:rPr>
        <w:t xml:space="preserve">A </w:t>
      </w:r>
      <w:r>
        <w:rPr>
          <w:i/>
          <w:iCs/>
          <w:rtl w:val="0"/>
        </w:rPr>
        <w:t>smaller</w:t>
      </w:r>
      <w:r>
        <w:rPr>
          <w:rtl w:val="0"/>
        </w:rPr>
        <w:t xml:space="preserve"> percentage of people born in Nepal (0.4% compared to 2.1%)</w:t>
      </w:r>
    </w:p>
    <w:p w:rsidR="001A6775">
      <w:pPr>
        <w:bidi w:val="0"/>
        <w:spacing w:after="280" w:afterAutospacing="1"/>
      </w:pPr>
      <w:r>
        <w:rPr>
          <w:rtl w:val="0"/>
        </w:rPr>
        <w:t>The largest non-English speaking country of birth in Hadfield was Italy, where 5.2% of the population, or 329 people, were born.</w:t>
      </w:r>
    </w:p>
    <w:p>
      <w:pPr>
        <w:bidi w:val="0"/>
        <w:spacing w:after="280" w:afterAutospacing="1"/>
        <w:rPr>
          <w:rtl w:val="0"/>
        </w:rPr>
      </w:pPr>
      <w:r>
        <w:rPr>
          <w:rtl w:val="0"/>
        </w:rPr>
        <w:t>The major differences between the countries of birth of the population in Hadfield and the City of Merri-bek were:</w:t>
      </w:r>
    </w:p>
    <w:p>
      <w:pPr>
        <w:numPr>
          <w:ilvl w:val="0"/>
          <w:numId w:val="2"/>
        </w:numPr>
        <w:bidi w:val="0"/>
        <w:spacing w:after="0" w:afterAutospacing="0"/>
        <w:rPr>
          <w:rtl w:val="0"/>
        </w:rPr>
      </w:pPr>
      <w:r>
        <w:rPr>
          <w:rtl w:val="0"/>
        </w:rPr>
        <w:t xml:space="preserve">A </w:t>
      </w:r>
      <w:r>
        <w:rPr>
          <w:i/>
          <w:iCs/>
          <w:rtl w:val="0"/>
        </w:rPr>
        <w:t>larger</w:t>
      </w:r>
      <w:r>
        <w:rPr>
          <w:rtl w:val="0"/>
        </w:rPr>
        <w:t xml:space="preserve"> percentage of people born in Lebanon (4.1% compared to 1.6%)</w:t>
      </w:r>
    </w:p>
    <w:p>
      <w:pPr>
        <w:numPr>
          <w:ilvl w:val="0"/>
          <w:numId w:val="2"/>
        </w:numPr>
        <w:bidi w:val="0"/>
        <w:spacing w:after="0" w:afterAutospacing="0"/>
        <w:ind w:left="720"/>
        <w:rPr>
          <w:rtl w:val="0"/>
        </w:rPr>
      </w:pPr>
      <w:r>
        <w:rPr>
          <w:rtl w:val="0"/>
        </w:rPr>
        <w:t xml:space="preserve">A </w:t>
      </w:r>
      <w:r>
        <w:rPr>
          <w:i/>
          <w:iCs/>
          <w:rtl w:val="0"/>
        </w:rPr>
        <w:t>larger</w:t>
      </w:r>
      <w:r>
        <w:rPr>
          <w:rtl w:val="0"/>
        </w:rPr>
        <w:t xml:space="preserve"> percentage of people born in Italy (5.2% compared to 3.8%)</w:t>
      </w:r>
    </w:p>
    <w:p>
      <w:pPr>
        <w:numPr>
          <w:ilvl w:val="0"/>
          <w:numId w:val="2"/>
        </w:numPr>
        <w:bidi w:val="0"/>
        <w:spacing w:after="0" w:afterAutospacing="0"/>
        <w:ind w:left="720"/>
        <w:rPr>
          <w:rtl w:val="0"/>
        </w:rPr>
      </w:pPr>
      <w:r>
        <w:rPr>
          <w:rtl w:val="0"/>
        </w:rPr>
        <w:t xml:space="preserve">A </w:t>
      </w:r>
      <w:r>
        <w:rPr>
          <w:i/>
          <w:iCs/>
          <w:rtl w:val="0"/>
        </w:rPr>
        <w:t>larger</w:t>
      </w:r>
      <w:r>
        <w:rPr>
          <w:rtl w:val="0"/>
        </w:rPr>
        <w:t xml:space="preserve"> percentage of people born in Pakistan (2.6% compared to 1.5%)</w:t>
      </w:r>
    </w:p>
    <w:p>
      <w:pPr>
        <w:numPr>
          <w:ilvl w:val="0"/>
          <w:numId w:val="2"/>
        </w:numPr>
        <w:bidi w:val="0"/>
        <w:spacing w:after="280" w:afterAutospacing="1"/>
        <w:ind w:left="720"/>
        <w:rPr>
          <w:rtl w:val="0"/>
        </w:rPr>
      </w:pPr>
      <w:r>
        <w:rPr>
          <w:rtl w:val="0"/>
        </w:rPr>
        <w:t xml:space="preserve">A </w:t>
      </w:r>
      <w:r>
        <w:rPr>
          <w:i/>
          <w:iCs/>
          <w:rtl w:val="0"/>
        </w:rPr>
        <w:t>smaller</w:t>
      </w:r>
      <w:r>
        <w:rPr>
          <w:rtl w:val="0"/>
        </w:rPr>
        <w:t xml:space="preserve"> percentage of people born in Nepal (0.4% compared to 2.1%)</w:t>
      </w:r>
    </w:p>
    <w:p w:rsidR="001A6775">
      <w:pPr>
        <w:bidi w:val="0"/>
        <w:spacing w:after="280" w:afterAutospacing="1"/>
      </w:pPr>
      <w:r>
        <w:rPr>
          <w:rtl w:val="0"/>
        </w:rPr>
        <w:t>Between 2016 and 2021, the number of people born overseas increased by 83 or 4.2%.</w:t>
      </w:r>
    </w:p>
    <w:p>
      <w:pPr>
        <w:bidi w:val="0"/>
        <w:spacing w:after="280" w:afterAutospacing="1"/>
        <w:rPr>
          <w:rtl w:val="0"/>
        </w:rPr>
      </w:pPr>
      <w:r>
        <w:rPr>
          <w:rtl w:val="0"/>
        </w:rPr>
        <w:t>The largest change in birthplace countries of the population in this area between 2016 and 2021 was for those born in:</w:t>
      </w:r>
    </w:p>
    <w:p>
      <w:pPr>
        <w:numPr>
          <w:ilvl w:val="0"/>
          <w:numId w:val="3"/>
        </w:numPr>
        <w:bidi w:val="0"/>
        <w:spacing w:after="280" w:afterAutospacing="1"/>
        <w:rPr>
          <w:rtl w:val="0"/>
        </w:rPr>
      </w:pPr>
      <w:r>
        <w:rPr>
          <w:rtl w:val="0"/>
        </w:rPr>
        <w:t>Italy (-97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