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Monash</w:t>
      </w:r>
    </w:p>
    <w:p w:rsidR="001A6775">
      <w:pPr>
        <w:pStyle w:val="Heading4"/>
        <w:bidi w:val="0"/>
        <w:spacing w:after="280" w:afterAutospacing="1"/>
      </w:pPr>
      <w:r>
        <w:rPr>
          <w:rtl w:val="0"/>
        </w:rPr>
        <w:t>Unpaid childcare</w:t>
      </w:r>
    </w:p>
    <w:p w:rsidR="001A6775">
      <w:pPr>
        <w:bidi w:val="0"/>
        <w:spacing w:after="280" w:afterAutospacing="1"/>
      </w:pPr>
      <w:r>
        <w:rPr>
          <w:rtl w:val="0"/>
        </w:rPr>
        <w:t xml:space="preserve">The role of unpaid childcare in the City of Monash is determined by many different factors. For example areas with high levels of unpaid child care may have a dominance of single income families with one significant earner, or there could be a lack of provision of paid child care in the area. The level to which people care for others children can also indicate the role of extended family (eg. grandparents caring for grandchildren, family day care). </w:t>
      </w:r>
    </w:p>
    <w:p>
      <w:pPr>
        <w:bidi w:val="0"/>
        <w:spacing w:after="280" w:afterAutospacing="1"/>
      </w:pPr>
      <w:r>
        <w:rPr>
          <w:rtl w:val="0"/>
        </w:rPr>
        <w:t xml:space="preserve">The role of unpaid child care is a complex one so this topic should be viewed in conjunction with several others, including </w:t>
      </w:r>
      <w:r>
        <w:rPr>
          <w:rtl w:val="0"/>
        </w:rPr>
        <w:fldChar w:fldCharType="begin"/>
      </w:r>
      <w:r>
        <w:rPr>
          <w:rtl w:val="0"/>
        </w:rPr>
        <w:instrText xml:space="preserve"> HYPERLINK "households?[QS]" </w:instrText>
      </w:r>
      <w:r>
        <w:rPr>
          <w:rtl w:val="0"/>
        </w:rPr>
        <w:fldChar w:fldCharType="separate"/>
      </w:r>
      <w:r>
        <w:rPr>
          <w:color w:val="0000FF"/>
          <w:u w:val="single"/>
          <w:rtl w:val="0"/>
        </w:rPr>
        <w:t>Household Type</w:t>
      </w:r>
      <w:r>
        <w:rPr>
          <w:rtl w:val="0"/>
        </w:rPr>
        <w:fldChar w:fldCharType="end"/>
      </w:r>
      <w:r>
        <w:rPr>
          <w:rtl w:val="0"/>
        </w:rPr>
        <w:t xml:space="preserve">, </w:t>
      </w:r>
      <w:r>
        <w:rPr>
          <w:rtl w:val="0"/>
        </w:rPr>
        <w:fldChar w:fldCharType="begin"/>
      </w:r>
      <w:r>
        <w:rPr>
          <w:rtl w:val="0"/>
        </w:rPr>
        <w:instrText xml:space="preserve"> HYPERLINK "employment-status?[QS]" </w:instrText>
      </w:r>
      <w:r>
        <w:rPr>
          <w:rtl w:val="0"/>
        </w:rPr>
        <w:fldChar w:fldCharType="separate"/>
      </w:r>
      <w:r>
        <w:rPr>
          <w:color w:val="0000FF"/>
          <w:u w:val="single"/>
          <w:rtl w:val="0"/>
        </w:rPr>
        <w:t>Employment</w:t>
      </w:r>
      <w:r>
        <w:rPr>
          <w:rtl w:val="0"/>
        </w:rPr>
        <w:fldChar w:fldCharType="end"/>
      </w:r>
      <w:r>
        <w:rPr>
          <w:rtl w:val="0"/>
        </w:rPr>
        <w:t xml:space="preserve">, </w:t>
      </w:r>
      <w:r>
        <w:rPr>
          <w:rtl w:val="0"/>
        </w:rPr>
        <w:fldChar w:fldCharType="begin"/>
      </w:r>
      <w:r>
        <w:rPr>
          <w:rtl w:val="0"/>
        </w:rPr>
        <w:instrText xml:space="preserve"> HYPERLINK "household-income?[QS]" </w:instrText>
      </w:r>
      <w:r>
        <w:rPr>
          <w:rtl w:val="0"/>
        </w:rPr>
        <w:fldChar w:fldCharType="separate"/>
      </w:r>
      <w:r>
        <w:rPr>
          <w:color w:val="0000FF"/>
          <w:u w:val="single"/>
          <w:rtl w:val="0"/>
        </w:rPr>
        <w:t>Household Income</w:t>
      </w:r>
      <w:r>
        <w:rPr>
          <w:rtl w:val="0"/>
        </w:rPr>
        <w:fldChar w:fldCharType="end"/>
      </w:r>
      <w:r>
        <w:rPr>
          <w:rtl w:val="0"/>
        </w:rPr>
        <w:t xml:space="preserve"> and </w:t>
      </w:r>
      <w:r>
        <w:rPr>
          <w:rtl w:val="0"/>
        </w:rPr>
        <w:fldChar w:fldCharType="begin"/>
      </w:r>
      <w:r>
        <w:rPr>
          <w:rtl w:val="0"/>
        </w:rPr>
        <w:instrText xml:space="preserve"> HYPERLINK "education?[QS]" </w:instrText>
      </w:r>
      <w:r>
        <w:rPr>
          <w:rtl w:val="0"/>
        </w:rPr>
        <w:fldChar w:fldCharType="separate"/>
      </w:r>
      <w:r>
        <w:rPr>
          <w:color w:val="0000FF"/>
          <w:u w:val="single"/>
          <w:rtl w:val="0"/>
        </w:rPr>
        <w:t>Educational Attendance</w:t>
      </w:r>
      <w:r>
        <w:rPr>
          <w:rtl w:val="0"/>
        </w:rPr>
        <w:fldChar w:fldCharType="end"/>
      </w:r>
      <w:r>
        <w:rPr>
          <w:rtl w:val="0"/>
        </w:rPr>
        <w:t>.</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Unpaid childcare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City of Monash - Persons aged 15+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Unpaid child care</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Greater Melbourne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Greater Melbourne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Provided unpaid child care (all)</w:t>
            </w:r>
          </w:p>
        </w:tc>
        <w:tc>
          <w:tcPr>
            <w:vAlign w:val="center"/>
          </w:tcPr>
          <w:p w:rsidR="001A6775">
            <w:pPr>
              <w:bidi w:val="0"/>
              <w:spacing w:after="0" w:afterAutospacing="1"/>
              <w:jc w:val="right"/>
              <w:rPr>
                <w:b w:val="0"/>
                <w:sz w:val="20"/>
              </w:rPr>
            </w:pPr>
            <w:r>
              <w:rPr>
                <w:b w:val="0"/>
                <w:sz w:val="20"/>
              </w:rPr>
              <w:t>39,236</w:t>
            </w:r>
          </w:p>
        </w:tc>
        <w:tc>
          <w:tcPr>
            <w:vAlign w:val="center"/>
          </w:tcPr>
          <w:p w:rsidR="001A6775">
            <w:pPr>
              <w:bidi w:val="0"/>
              <w:spacing w:after="0" w:afterAutospacing="1"/>
              <w:jc w:val="right"/>
              <w:rPr>
                <w:b w:val="0"/>
                <w:sz w:val="20"/>
              </w:rPr>
            </w:pPr>
            <w:r>
              <w:rPr>
                <w:b w:val="0"/>
                <w:sz w:val="20"/>
              </w:rPr>
              <w:t>24.4</w:t>
            </w:r>
          </w:p>
        </w:tc>
        <w:tc>
          <w:tcPr>
            <w:vAlign w:val="center"/>
          </w:tcPr>
          <w:p w:rsidR="001A6775">
            <w:pPr>
              <w:bidi w:val="0"/>
              <w:spacing w:after="0" w:afterAutospacing="1"/>
              <w:jc w:val="right"/>
              <w:rPr>
                <w:b w:val="0"/>
                <w:sz w:val="20"/>
              </w:rPr>
            </w:pPr>
            <w:r>
              <w:rPr>
                <w:b w:val="0"/>
                <w:sz w:val="20"/>
              </w:rPr>
              <w:t>26.5</w:t>
            </w:r>
          </w:p>
        </w:tc>
        <w:tc>
          <w:tcPr>
            <w:vAlign w:val="center"/>
          </w:tcPr>
          <w:p w:rsidR="001A6775">
            <w:pPr>
              <w:bidi w:val="0"/>
              <w:spacing w:after="0" w:afterAutospacing="1"/>
              <w:jc w:val="right"/>
              <w:rPr>
                <w:b w:val="0"/>
                <w:sz w:val="20"/>
              </w:rPr>
            </w:pPr>
            <w:r>
              <w:rPr>
                <w:b w:val="0"/>
                <w:sz w:val="20"/>
              </w:rPr>
              <w:t>39,057</w:t>
            </w:r>
          </w:p>
        </w:tc>
        <w:tc>
          <w:tcPr>
            <w:vAlign w:val="center"/>
          </w:tcPr>
          <w:p w:rsidR="001A6775">
            <w:pPr>
              <w:bidi w:val="0"/>
              <w:spacing w:after="0" w:afterAutospacing="1"/>
              <w:jc w:val="right"/>
              <w:rPr>
                <w:b w:val="0"/>
                <w:sz w:val="20"/>
              </w:rPr>
            </w:pPr>
            <w:r>
              <w:rPr>
                <w:b w:val="0"/>
                <w:sz w:val="20"/>
              </w:rPr>
              <w:t>25.4</w:t>
            </w:r>
          </w:p>
        </w:tc>
        <w:tc>
          <w:tcPr>
            <w:vAlign w:val="center"/>
          </w:tcPr>
          <w:p w:rsidR="001A6775">
            <w:pPr>
              <w:bidi w:val="0"/>
              <w:spacing w:after="0" w:afterAutospacing="1"/>
              <w:jc w:val="right"/>
              <w:rPr>
                <w:b w:val="0"/>
                <w:sz w:val="20"/>
              </w:rPr>
            </w:pPr>
            <w:r>
              <w:rPr>
                <w:b w:val="0"/>
                <w:sz w:val="20"/>
              </w:rPr>
              <w:t>27.5</w:t>
            </w:r>
          </w:p>
        </w:tc>
        <w:tc>
          <w:tcPr>
            <w:vAlign w:val="center"/>
          </w:tcPr>
          <w:p w:rsidR="001A6775">
            <w:pPr>
              <w:bidi w:val="0"/>
              <w:spacing w:after="0" w:afterAutospacing="1"/>
              <w:jc w:val="right"/>
              <w:rPr>
                <w:b w:val="0"/>
                <w:sz w:val="20"/>
              </w:rPr>
            </w:pPr>
            <w:r>
              <w:rPr>
                <w:b w:val="0"/>
                <w:sz w:val="20"/>
              </w:rPr>
              <w:t>+179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Cared for own child/ren</w:t>
            </w:r>
          </w:p>
        </w:tc>
        <w:tc>
          <w:tcPr>
            <w:vAlign w:val="center"/>
          </w:tcPr>
          <w:p w:rsidR="001A6775">
            <w:pPr>
              <w:bidi w:val="0"/>
              <w:spacing w:after="0" w:afterAutospacing="1"/>
              <w:jc w:val="right"/>
              <w:rPr>
                <w:b w:val="0"/>
                <w:sz w:val="20"/>
              </w:rPr>
            </w:pPr>
            <w:r>
              <w:rPr>
                <w:b w:val="0"/>
                <w:sz w:val="20"/>
              </w:rPr>
              <w:t>31,317</w:t>
            </w:r>
          </w:p>
        </w:tc>
        <w:tc>
          <w:tcPr>
            <w:vAlign w:val="center"/>
          </w:tcPr>
          <w:p w:rsidR="001A6775">
            <w:pPr>
              <w:bidi w:val="0"/>
              <w:spacing w:after="0" w:afterAutospacing="1"/>
              <w:jc w:val="right"/>
              <w:rPr>
                <w:b w:val="0"/>
                <w:sz w:val="20"/>
              </w:rPr>
            </w:pPr>
            <w:r>
              <w:rPr>
                <w:b w:val="0"/>
                <w:sz w:val="20"/>
              </w:rPr>
              <w:t>19.5</w:t>
            </w:r>
          </w:p>
        </w:tc>
        <w:tc>
          <w:tcPr>
            <w:vAlign w:val="center"/>
          </w:tcPr>
          <w:p w:rsidR="001A6775">
            <w:pPr>
              <w:bidi w:val="0"/>
              <w:spacing w:after="0" w:afterAutospacing="1"/>
              <w:jc w:val="right"/>
              <w:rPr>
                <w:b w:val="0"/>
                <w:sz w:val="20"/>
              </w:rPr>
            </w:pPr>
            <w:r>
              <w:rPr>
                <w:b w:val="0"/>
                <w:sz w:val="20"/>
              </w:rPr>
              <w:t>20.9</w:t>
            </w:r>
          </w:p>
        </w:tc>
        <w:tc>
          <w:tcPr>
            <w:vAlign w:val="center"/>
          </w:tcPr>
          <w:p w:rsidR="001A6775">
            <w:pPr>
              <w:bidi w:val="0"/>
              <w:spacing w:after="0" w:afterAutospacing="1"/>
              <w:jc w:val="right"/>
              <w:rPr>
                <w:b w:val="0"/>
                <w:sz w:val="20"/>
              </w:rPr>
            </w:pPr>
            <w:r>
              <w:rPr>
                <w:b w:val="0"/>
                <w:sz w:val="20"/>
              </w:rPr>
              <w:t>28,730</w:t>
            </w:r>
          </w:p>
        </w:tc>
        <w:tc>
          <w:tcPr>
            <w:vAlign w:val="center"/>
          </w:tcPr>
          <w:p w:rsidR="001A6775">
            <w:pPr>
              <w:bidi w:val="0"/>
              <w:spacing w:after="0" w:afterAutospacing="1"/>
              <w:jc w:val="right"/>
              <w:rPr>
                <w:b w:val="0"/>
                <w:sz w:val="20"/>
              </w:rPr>
            </w:pPr>
            <w:r>
              <w:rPr>
                <w:b w:val="0"/>
                <w:sz w:val="20"/>
              </w:rPr>
              <w:t>18.7</w:t>
            </w:r>
          </w:p>
        </w:tc>
        <w:tc>
          <w:tcPr>
            <w:vAlign w:val="center"/>
          </w:tcPr>
          <w:p w:rsidR="001A6775">
            <w:pPr>
              <w:bidi w:val="0"/>
              <w:spacing w:after="0" w:afterAutospacing="1"/>
              <w:jc w:val="right"/>
              <w:rPr>
                <w:b w:val="0"/>
                <w:sz w:val="20"/>
              </w:rPr>
            </w:pPr>
            <w:r>
              <w:rPr>
                <w:b w:val="0"/>
                <w:sz w:val="20"/>
              </w:rPr>
              <w:t>20.3</w:t>
            </w:r>
          </w:p>
        </w:tc>
        <w:tc>
          <w:tcPr>
            <w:vAlign w:val="center"/>
          </w:tcPr>
          <w:p w:rsidR="001A6775">
            <w:pPr>
              <w:bidi w:val="0"/>
              <w:spacing w:after="0" w:afterAutospacing="1"/>
              <w:jc w:val="right"/>
              <w:rPr>
                <w:b w:val="0"/>
                <w:sz w:val="20"/>
              </w:rPr>
            </w:pPr>
            <w:r>
              <w:rPr>
                <w:b w:val="0"/>
                <w:sz w:val="20"/>
              </w:rPr>
              <w:t>+2,587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Cared for other child/ren</w:t>
            </w:r>
          </w:p>
        </w:tc>
        <w:tc>
          <w:tcPr>
            <w:vAlign w:val="center"/>
          </w:tcPr>
          <w:p w:rsidR="001A6775">
            <w:pPr>
              <w:bidi w:val="0"/>
              <w:spacing w:after="0" w:afterAutospacing="1"/>
              <w:jc w:val="right"/>
              <w:rPr>
                <w:b w:val="0"/>
                <w:sz w:val="20"/>
              </w:rPr>
            </w:pPr>
            <w:r>
              <w:rPr>
                <w:b w:val="0"/>
                <w:sz w:val="20"/>
              </w:rPr>
              <w:t>7,521</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5.2</w:t>
            </w:r>
          </w:p>
        </w:tc>
        <w:tc>
          <w:tcPr>
            <w:vAlign w:val="center"/>
          </w:tcPr>
          <w:p w:rsidR="001A6775">
            <w:pPr>
              <w:bidi w:val="0"/>
              <w:spacing w:after="0" w:afterAutospacing="1"/>
              <w:jc w:val="right"/>
              <w:rPr>
                <w:b w:val="0"/>
                <w:sz w:val="20"/>
              </w:rPr>
            </w:pPr>
            <w:r>
              <w:rPr>
                <w:b w:val="0"/>
                <w:sz w:val="20"/>
              </w:rPr>
              <w:t>9,612</w:t>
            </w:r>
          </w:p>
        </w:tc>
        <w:tc>
          <w:tcPr>
            <w:vAlign w:val="center"/>
          </w:tcPr>
          <w:p w:rsidR="001A6775">
            <w:pPr>
              <w:bidi w:val="0"/>
              <w:spacing w:after="0" w:afterAutospacing="1"/>
              <w:jc w:val="right"/>
              <w:rPr>
                <w:b w:val="0"/>
                <w:sz w:val="20"/>
              </w:rPr>
            </w:pPr>
            <w:r>
              <w:rPr>
                <w:b w:val="0"/>
                <w:sz w:val="20"/>
              </w:rPr>
              <w:t>6.3</w:t>
            </w:r>
          </w:p>
        </w:tc>
        <w:tc>
          <w:tcPr>
            <w:vAlign w:val="center"/>
          </w:tcPr>
          <w:p w:rsidR="001A6775">
            <w:pPr>
              <w:bidi w:val="0"/>
              <w:spacing w:after="0" w:afterAutospacing="1"/>
              <w:jc w:val="right"/>
              <w:rPr>
                <w:b w:val="0"/>
                <w:sz w:val="20"/>
              </w:rPr>
            </w:pPr>
            <w:r>
              <w:rPr>
                <w:b w:val="0"/>
                <w:sz w:val="20"/>
              </w:rPr>
              <w:t>6.5</w:t>
            </w:r>
          </w:p>
        </w:tc>
        <w:tc>
          <w:tcPr>
            <w:vAlign w:val="center"/>
          </w:tcPr>
          <w:p w:rsidR="001A6775">
            <w:pPr>
              <w:bidi w:val="0"/>
              <w:spacing w:after="0" w:afterAutospacing="1"/>
              <w:jc w:val="right"/>
              <w:rPr>
                <w:b w:val="0"/>
                <w:sz w:val="20"/>
              </w:rPr>
            </w:pPr>
            <w:r>
              <w:rPr>
                <w:b w:val="0"/>
                <w:sz w:val="20"/>
              </w:rPr>
              <w:t>-2,091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Cared for own child/ren and other child/ren</w:t>
            </w:r>
          </w:p>
        </w:tc>
        <w:tc>
          <w:tcPr>
            <w:vAlign w:val="center"/>
          </w:tcPr>
          <w:p w:rsidR="001A6775">
            <w:pPr>
              <w:bidi w:val="0"/>
              <w:spacing w:after="0" w:afterAutospacing="1"/>
              <w:jc w:val="right"/>
              <w:rPr>
                <w:b w:val="0"/>
                <w:sz w:val="20"/>
              </w:rPr>
            </w:pPr>
            <w:r>
              <w:rPr>
                <w:b w:val="0"/>
                <w:sz w:val="20"/>
              </w:rPr>
              <w:t>398</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715</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-317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 unpaid child care provided</w:t>
            </w:r>
          </w:p>
        </w:tc>
        <w:tc>
          <w:tcPr>
            <w:vAlign w:val="center"/>
          </w:tcPr>
          <w:p w:rsidR="001A6775">
            <w:pPr>
              <w:bidi w:val="0"/>
              <w:spacing w:after="0" w:afterAutospacing="1"/>
              <w:jc w:val="right"/>
              <w:rPr>
                <w:b w:val="0"/>
                <w:sz w:val="20"/>
              </w:rPr>
            </w:pPr>
            <w:r>
              <w:rPr>
                <w:b w:val="0"/>
                <w:sz w:val="20"/>
              </w:rPr>
              <w:t>113,612</w:t>
            </w:r>
          </w:p>
        </w:tc>
        <w:tc>
          <w:tcPr>
            <w:vAlign w:val="center"/>
          </w:tcPr>
          <w:p w:rsidR="001A6775">
            <w:pPr>
              <w:bidi w:val="0"/>
              <w:spacing w:after="0" w:afterAutospacing="1"/>
              <w:jc w:val="right"/>
              <w:rPr>
                <w:b w:val="0"/>
                <w:sz w:val="20"/>
              </w:rPr>
            </w:pPr>
            <w:r>
              <w:rPr>
                <w:b w:val="0"/>
                <w:sz w:val="20"/>
              </w:rPr>
              <w:t>70.7</w:t>
            </w:r>
          </w:p>
        </w:tc>
        <w:tc>
          <w:tcPr>
            <w:vAlign w:val="center"/>
          </w:tcPr>
          <w:p w:rsidR="001A6775">
            <w:pPr>
              <w:bidi w:val="0"/>
              <w:spacing w:after="0" w:afterAutospacing="1"/>
              <w:jc w:val="right"/>
              <w:rPr>
                <w:b w:val="0"/>
                <w:sz w:val="20"/>
              </w:rPr>
            </w:pPr>
            <w:r>
              <w:rPr>
                <w:b w:val="0"/>
                <w:sz w:val="20"/>
              </w:rPr>
              <w:t>68.1</w:t>
            </w:r>
          </w:p>
        </w:tc>
        <w:tc>
          <w:tcPr>
            <w:vAlign w:val="center"/>
          </w:tcPr>
          <w:p w:rsidR="001A6775">
            <w:pPr>
              <w:bidi w:val="0"/>
              <w:spacing w:after="0" w:afterAutospacing="1"/>
              <w:jc w:val="right"/>
              <w:rPr>
                <w:b w:val="0"/>
                <w:sz w:val="20"/>
              </w:rPr>
            </w:pPr>
            <w:r>
              <w:rPr>
                <w:b w:val="0"/>
                <w:sz w:val="20"/>
              </w:rPr>
              <w:t>105,711</w:t>
            </w:r>
          </w:p>
        </w:tc>
        <w:tc>
          <w:tcPr>
            <w:vAlign w:val="center"/>
          </w:tcPr>
          <w:p w:rsidR="001A6775">
            <w:pPr>
              <w:bidi w:val="0"/>
              <w:spacing w:after="0" w:afterAutospacing="1"/>
              <w:jc w:val="right"/>
              <w:rPr>
                <w:b w:val="0"/>
                <w:sz w:val="20"/>
              </w:rPr>
            </w:pPr>
            <w:r>
              <w:rPr>
                <w:b w:val="0"/>
                <w:sz w:val="20"/>
              </w:rPr>
              <w:t>68.8</w:t>
            </w:r>
          </w:p>
        </w:tc>
        <w:tc>
          <w:tcPr>
            <w:vAlign w:val="center"/>
          </w:tcPr>
          <w:p w:rsidR="001A6775">
            <w:pPr>
              <w:bidi w:val="0"/>
              <w:spacing w:after="0" w:afterAutospacing="1"/>
              <w:jc w:val="right"/>
              <w:rPr>
                <w:b w:val="0"/>
                <w:sz w:val="20"/>
              </w:rPr>
            </w:pPr>
            <w:r>
              <w:rPr>
                <w:b w:val="0"/>
                <w:sz w:val="20"/>
              </w:rPr>
              <w:t>65.2</w:t>
            </w:r>
          </w:p>
        </w:tc>
        <w:tc>
          <w:tcPr>
            <w:vAlign w:val="center"/>
          </w:tcPr>
          <w:p w:rsidR="001A6775">
            <w:pPr>
              <w:bidi w:val="0"/>
              <w:spacing w:after="0" w:afterAutospacing="1"/>
              <w:jc w:val="right"/>
              <w:rPr>
                <w:b w:val="0"/>
                <w:sz w:val="20"/>
              </w:rPr>
            </w:pPr>
            <w:r>
              <w:rPr>
                <w:b w:val="0"/>
                <w:sz w:val="20"/>
              </w:rPr>
              <w:t>+7,901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7,961</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5.4</w:t>
            </w:r>
          </w:p>
        </w:tc>
        <w:tc>
          <w:tcPr>
            <w:vAlign w:val="center"/>
          </w:tcPr>
          <w:p w:rsidR="001A6775">
            <w:pPr>
              <w:bidi w:val="0"/>
              <w:spacing w:after="0" w:afterAutospacing="1"/>
              <w:jc w:val="right"/>
              <w:rPr>
                <w:b w:val="0"/>
                <w:sz w:val="20"/>
              </w:rPr>
            </w:pPr>
            <w:r>
              <w:rPr>
                <w:b w:val="0"/>
                <w:sz w:val="20"/>
              </w:rPr>
              <w:t>8,948</w:t>
            </w:r>
          </w:p>
        </w:tc>
        <w:tc>
          <w:tcPr>
            <w:vAlign w:val="center"/>
          </w:tcPr>
          <w:p w:rsidR="001A6775">
            <w:pPr>
              <w:bidi w:val="0"/>
              <w:spacing w:after="0" w:afterAutospacing="1"/>
              <w:jc w:val="right"/>
              <w:rPr>
                <w:b w:val="0"/>
                <w:sz w:val="20"/>
              </w:rPr>
            </w:pPr>
            <w:r>
              <w:rPr>
                <w:b w:val="0"/>
                <w:sz w:val="20"/>
              </w:rPr>
              <w:t>5.8</w:t>
            </w:r>
          </w:p>
        </w:tc>
        <w:tc>
          <w:tcPr>
            <w:vAlign w:val="center"/>
          </w:tcPr>
          <w:p w:rsidR="001A6775">
            <w:pPr>
              <w:bidi w:val="0"/>
              <w:spacing w:after="0" w:afterAutospacing="1"/>
              <w:jc w:val="right"/>
              <w:rPr>
                <w:b w:val="0"/>
                <w:sz w:val="20"/>
              </w:rPr>
            </w:pPr>
            <w:r>
              <w:rPr>
                <w:b w:val="0"/>
                <w:sz w:val="20"/>
              </w:rPr>
              <w:t>7.3</w:t>
            </w:r>
          </w:p>
        </w:tc>
        <w:tc>
          <w:tcPr>
            <w:vAlign w:val="center"/>
          </w:tcPr>
          <w:p w:rsidR="001A6775">
            <w:pPr>
              <w:bidi w:val="0"/>
              <w:spacing w:after="0" w:afterAutospacing="1"/>
              <w:jc w:val="right"/>
              <w:rPr>
                <w:b w:val="0"/>
                <w:sz w:val="20"/>
              </w:rPr>
            </w:pPr>
            <w:r>
              <w:rPr>
                <w:b w:val="0"/>
                <w:sz w:val="20"/>
              </w:rPr>
              <w:t>-987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persons aged 15+</w:t>
            </w:r>
          </w:p>
        </w:tc>
        <w:tc>
          <w:tcPr>
            <w:vAlign w:val="center"/>
          </w:tcPr>
          <w:p w:rsidR="001A6775">
            <w:pPr>
              <w:bidi w:val="0"/>
              <w:spacing w:after="0" w:afterAutospacing="1"/>
              <w:jc w:val="right"/>
              <w:rPr>
                <w:b/>
                <w:sz w:val="20"/>
              </w:rPr>
            </w:pPr>
            <w:r>
              <w:rPr>
                <w:b/>
                <w:sz w:val="20"/>
              </w:rPr>
              <w:t>160,809</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153,716</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+7,093</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unpaid child care provided by the population in the City of Monash in 2021 compared to Greater Melbourne shows that there was a lower proportion of people who provided unpaid child care either to their own or to other children. Overall, 24.4% of the population provided unpaid child care, compared with 26.5% for Greater Melbourne.</w:t>
      </w:r>
    </w:p>
    <w:p>
      <w:pPr>
        <w:bidi w:val="0"/>
        <w:spacing w:after="280" w:afterAutospacing="1"/>
        <w:rPr>
          <w:rtl w:val="0"/>
        </w:rPr>
      </w:pPr>
      <w:r>
        <w:rPr>
          <w:rtl w:val="0"/>
        </w:rPr>
        <w:t>The major differences between the share of the population providing unpaid child care in the City of Monash and Greater Melbourne were:</w:t>
      </w:r>
    </w:p>
    <w:p>
      <w:pPr>
        <w:numPr>
          <w:ilvl w:val="0"/>
          <w:numId w:val="1"/>
        </w:numPr>
        <w:bidi w:val="0"/>
        <w:spacing w:after="0" w:afterAutospacing="0"/>
        <w:rPr>
          <w:rtl w:val="0"/>
        </w:rPr>
      </w:pPr>
      <w:r>
        <w:rPr>
          <w:rtl w:val="0"/>
        </w:rPr>
        <w:t xml:space="preserve">A </w:t>
      </w:r>
      <w:r>
        <w:rPr>
          <w:i/>
          <w:iCs/>
          <w:rtl w:val="0"/>
        </w:rPr>
        <w:t>larger</w:t>
      </w:r>
      <w:r>
        <w:rPr>
          <w:rtl w:val="0"/>
        </w:rPr>
        <w:t xml:space="preserve"> percentage who did not provide care for children (70.7% compared to 68.1%)</w:t>
      </w:r>
    </w:p>
    <w:p>
      <w:pPr>
        <w:numPr>
          <w:ilvl w:val="0"/>
          <w:numId w:val="1"/>
        </w:numPr>
        <w:bidi w:val="0"/>
        <w:spacing w:after="280" w:afterAutospacing="1"/>
        <w:ind w:left="720"/>
        <w:rPr>
          <w:rtl w:val="0"/>
        </w:rPr>
      </w:pPr>
      <w:r>
        <w:rPr>
          <w:rtl w:val="0"/>
        </w:rPr>
        <w:t xml:space="preserve">A </w:t>
      </w:r>
      <w:r>
        <w:rPr>
          <w:i/>
          <w:iCs/>
          <w:rtl w:val="0"/>
        </w:rPr>
        <w:t>smaller</w:t>
      </w:r>
      <w:r>
        <w:rPr>
          <w:rtl w:val="0"/>
        </w:rPr>
        <w:t xml:space="preserve"> percentage who provided unpaid childcare for own child/ren (19.5% compared to 20.9%)</w:t>
      </w:r>
    </w:p>
    <w:p w:rsidR="001A6775">
      <w:pPr>
        <w:bidi w:val="0"/>
        <w:spacing w:after="280" w:afterAutospacing="1"/>
      </w:pPr>
      <w:r>
        <w:rPr>
          <w:rtl w:val="0"/>
        </w:rPr>
        <w:t>The number of people who provided unpaid child care for their own and/or other people's children in City of Monash increased by 179 between 2016 and 2021.</w:t>
      </w:r>
    </w:p>
    <w:p>
      <w:pPr>
        <w:bidi w:val="0"/>
        <w:spacing w:after="280" w:afterAutospacing="1"/>
        <w:rPr>
          <w:rtl w:val="0"/>
        </w:rPr>
      </w:pPr>
      <w:r>
        <w:rPr>
          <w:rtl w:val="0"/>
        </w:rPr>
        <w:t>The largest changes in the number of people performing unpaid child care in the City of Monash, between 2016 and 2021 were those who:</w:t>
      </w:r>
    </w:p>
    <w:p>
      <w:pPr>
        <w:numPr>
          <w:ilvl w:val="0"/>
          <w:numId w:val="2"/>
        </w:numPr>
        <w:bidi w:val="0"/>
        <w:spacing w:after="0" w:afterAutospacing="0"/>
        <w:rPr>
          <w:rtl w:val="0"/>
        </w:rPr>
      </w:pPr>
      <w:r>
        <w:rPr>
          <w:rtl w:val="0"/>
        </w:rPr>
        <w:t>Provided no unpaid child care (+7,901 persons)</w:t>
      </w:r>
    </w:p>
    <w:p>
      <w:pPr>
        <w:numPr>
          <w:ilvl w:val="0"/>
          <w:numId w:val="2"/>
        </w:numPr>
        <w:bidi w:val="0"/>
        <w:spacing w:after="0" w:afterAutospacing="0"/>
        <w:ind w:left="720"/>
        <w:rPr>
          <w:rtl w:val="0"/>
        </w:rPr>
      </w:pPr>
      <w:r>
        <w:rPr>
          <w:rtl w:val="0"/>
        </w:rPr>
        <w:t>Cared for their own child/ren (+2,587 persons)</w:t>
      </w:r>
    </w:p>
    <w:p>
      <w:pPr>
        <w:numPr>
          <w:ilvl w:val="0"/>
          <w:numId w:val="2"/>
        </w:numPr>
        <w:bidi w:val="0"/>
        <w:spacing w:after="0" w:afterAutospacing="0"/>
        <w:ind w:left="720"/>
        <w:rPr>
          <w:rtl w:val="0"/>
        </w:rPr>
      </w:pPr>
      <w:r>
        <w:rPr>
          <w:rtl w:val="0"/>
        </w:rPr>
        <w:t>Cared for other child/ren (-2,091 persons)</w:t>
      </w:r>
    </w:p>
    <w:p>
      <w:pPr>
        <w:numPr>
          <w:ilvl w:val="0"/>
          <w:numId w:val="2"/>
        </w:numPr>
        <w:bidi w:val="0"/>
        <w:spacing w:after="280" w:afterAutospacing="1"/>
        <w:ind w:left="720"/>
        <w:rPr>
          <w:rtl w:val="0"/>
        </w:rPr>
      </w:pPr>
      <w:r>
        <w:rPr>
          <w:rtl w:val="0"/>
        </w:rPr>
        <w:t>Cared for their own child/ren and other child/ren (-317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