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Monash</w:t>
      </w:r>
    </w:p>
    <w:p w:rsidR="001A6775">
      <w:pPr>
        <w:pStyle w:val="Heading4"/>
        <w:bidi w:val="0"/>
        <w:spacing w:after="280" w:afterAutospacing="1"/>
      </w:pPr>
      <w:r>
        <w:rPr>
          <w:rtl w:val="0"/>
        </w:rPr>
        <w:t>Unpaid care</w:t>
      </w:r>
    </w:p>
    <w:p w:rsidR="001A6775">
      <w:pPr>
        <w:bidi w:val="0"/>
        <w:spacing w:after="280" w:afterAutospacing="1"/>
      </w:pPr>
      <w:r>
        <w:rPr>
          <w:rtl w:val="0"/>
        </w:rPr>
        <w:t xml:space="preserve">The proportion of people providing unpaid care for the aged and disabled in the City of Monash can be an important indicator of the level of demand for aged care services and facilities by local and state governments. An increasing proportion of carers among the population may indicate inadequate aged care provision, or the need for in-home support, or support for the carers themselves. The level of care provided by individuals is likely to be affected by </w:t>
      </w:r>
      <w:r>
        <w:rPr>
          <w:rtl w:val="0"/>
        </w:rPr>
        <w:fldChar w:fldCharType="begin"/>
      </w:r>
      <w:r>
        <w:rPr>
          <w:rtl w:val="0"/>
        </w:rPr>
        <w:instrText xml:space="preserve"> HYPERLINK "household-income?[QS]" </w:instrText>
      </w:r>
      <w:r>
        <w:rPr>
          <w:rtl w:val="0"/>
        </w:rPr>
        <w:fldChar w:fldCharType="separate"/>
      </w:r>
      <w:r>
        <w:rPr>
          <w:color w:val="0000FF"/>
          <w:u w:val="single"/>
          <w:rtl w:val="0"/>
        </w:rPr>
        <w:t>Household Income</w:t>
      </w:r>
      <w:r>
        <w:rPr>
          <w:rtl w:val="0"/>
        </w:rPr>
        <w:fldChar w:fldCharType="end"/>
      </w:r>
      <w:r>
        <w:rPr>
          <w:rtl w:val="0"/>
        </w:rPr>
        <w:t xml:space="preserve">,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and the ethnic makeup of the community (</w:t>
      </w:r>
      <w:r>
        <w:rPr>
          <w:rtl w:val="0"/>
        </w:rPr>
        <w:fldChar w:fldCharType="begin"/>
      </w:r>
      <w:r>
        <w:rPr>
          <w:rtl w:val="0"/>
        </w:rPr>
        <w:instrText xml:space="preserve"> HYPERLINK "language?[QS]" </w:instrText>
      </w:r>
      <w:r>
        <w:rPr>
          <w:rtl w:val="0"/>
        </w:rPr>
        <w:fldChar w:fldCharType="separate"/>
      </w:r>
      <w:r>
        <w:rPr>
          <w:color w:val="0000FF"/>
          <w:u w:val="single"/>
          <w:rtl w:val="0"/>
        </w:rPr>
        <w:t>Language Spoken</w:t>
      </w:r>
      <w:r>
        <w:rPr>
          <w:rtl w:val="0"/>
        </w:rPr>
        <w:fldChar w:fldCharType="end"/>
      </w:r>
      <w:r>
        <w:rPr>
          <w:rtl w:val="0"/>
        </w:rPr>
        <w:t>), as well as the sense of community cohesiveness.</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Unpaid care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City of Monash - Persons aged 15+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Assistance to a person with a disability, long term illness or old age</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Greater Melbourne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Greater Melbourne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Provided unpaid assistance</w:t>
            </w:r>
          </w:p>
        </w:tc>
        <w:tc>
          <w:tcPr>
            <w:vAlign w:val="center"/>
          </w:tcPr>
          <w:p w:rsidR="001A6775">
            <w:pPr>
              <w:bidi w:val="0"/>
              <w:spacing w:after="0" w:afterAutospacing="1"/>
              <w:jc w:val="right"/>
              <w:rPr>
                <w:b w:val="0"/>
                <w:sz w:val="20"/>
              </w:rPr>
            </w:pPr>
            <w:r>
              <w:rPr>
                <w:b w:val="0"/>
                <w:sz w:val="20"/>
              </w:rPr>
              <w:t>19,293</w:t>
            </w:r>
          </w:p>
        </w:tc>
        <w:tc>
          <w:tcPr>
            <w:vAlign w:val="center"/>
          </w:tcPr>
          <w:p w:rsidR="001A6775">
            <w:pPr>
              <w:bidi w:val="0"/>
              <w:spacing w:after="0" w:afterAutospacing="1"/>
              <w:jc w:val="right"/>
              <w:rPr>
                <w:b w:val="0"/>
                <w:sz w:val="20"/>
              </w:rPr>
            </w:pPr>
            <w:r>
              <w:rPr>
                <w:b w:val="0"/>
                <w:sz w:val="20"/>
              </w:rPr>
              <w:t>12.0</w:t>
            </w:r>
          </w:p>
        </w:tc>
        <w:tc>
          <w:tcPr>
            <w:vAlign w:val="center"/>
          </w:tcPr>
          <w:p w:rsidR="001A6775">
            <w:pPr>
              <w:bidi w:val="0"/>
              <w:spacing w:after="0" w:afterAutospacing="1"/>
              <w:jc w:val="right"/>
              <w:rPr>
                <w:b w:val="0"/>
                <w:sz w:val="20"/>
              </w:rPr>
            </w:pPr>
            <w:r>
              <w:rPr>
                <w:b w:val="0"/>
                <w:sz w:val="20"/>
              </w:rPr>
              <w:t>12.6</w:t>
            </w:r>
          </w:p>
        </w:tc>
        <w:tc>
          <w:tcPr>
            <w:vAlign w:val="center"/>
          </w:tcPr>
          <w:p w:rsidR="001A6775">
            <w:pPr>
              <w:bidi w:val="0"/>
              <w:spacing w:after="0" w:afterAutospacing="1"/>
              <w:jc w:val="right"/>
              <w:rPr>
                <w:b w:val="0"/>
                <w:sz w:val="20"/>
              </w:rPr>
            </w:pPr>
            <w:r>
              <w:rPr>
                <w:b w:val="0"/>
                <w:sz w:val="20"/>
              </w:rPr>
              <w:t>16,996</w:t>
            </w:r>
          </w:p>
        </w:tc>
        <w:tc>
          <w:tcPr>
            <w:vAlign w:val="center"/>
          </w:tcPr>
          <w:p w:rsidR="001A6775">
            <w:pPr>
              <w:bidi w:val="0"/>
              <w:spacing w:after="0" w:afterAutospacing="1"/>
              <w:jc w:val="right"/>
              <w:rPr>
                <w:b w:val="0"/>
                <w:sz w:val="20"/>
              </w:rPr>
            </w:pPr>
            <w:r>
              <w:rPr>
                <w:b w:val="0"/>
                <w:sz w:val="20"/>
              </w:rPr>
              <w:t>11.1</w:t>
            </w:r>
          </w:p>
        </w:tc>
        <w:tc>
          <w:tcPr>
            <w:vAlign w:val="center"/>
          </w:tcPr>
          <w:p w:rsidR="001A6775">
            <w:pPr>
              <w:bidi w:val="0"/>
              <w:spacing w:after="0" w:afterAutospacing="1"/>
              <w:jc w:val="right"/>
              <w:rPr>
                <w:b w:val="0"/>
                <w:sz w:val="20"/>
              </w:rPr>
            </w:pPr>
            <w:r>
              <w:rPr>
                <w:b w:val="0"/>
                <w:sz w:val="20"/>
              </w:rPr>
              <w:t>11.3</w:t>
            </w:r>
          </w:p>
        </w:tc>
        <w:tc>
          <w:tcPr>
            <w:vAlign w:val="center"/>
          </w:tcPr>
          <w:p w:rsidR="001A6775">
            <w:pPr>
              <w:bidi w:val="0"/>
              <w:spacing w:after="0" w:afterAutospacing="1"/>
              <w:jc w:val="right"/>
              <w:rPr>
                <w:b w:val="0"/>
                <w:sz w:val="20"/>
              </w:rPr>
            </w:pPr>
            <w:r>
              <w:rPr>
                <w:b w:val="0"/>
                <w:sz w:val="20"/>
              </w:rPr>
              <w:t>+2,297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 unpaid assistance provided</w:t>
            </w:r>
          </w:p>
        </w:tc>
        <w:tc>
          <w:tcPr>
            <w:vAlign w:val="center"/>
          </w:tcPr>
          <w:p w:rsidR="001A6775">
            <w:pPr>
              <w:bidi w:val="0"/>
              <w:spacing w:after="0" w:afterAutospacing="1"/>
              <w:jc w:val="right"/>
              <w:rPr>
                <w:b w:val="0"/>
                <w:sz w:val="20"/>
              </w:rPr>
            </w:pPr>
            <w:r>
              <w:rPr>
                <w:b w:val="0"/>
                <w:sz w:val="20"/>
              </w:rPr>
              <w:t>133,183</w:t>
            </w:r>
          </w:p>
        </w:tc>
        <w:tc>
          <w:tcPr>
            <w:vAlign w:val="center"/>
          </w:tcPr>
          <w:p w:rsidR="001A6775">
            <w:pPr>
              <w:bidi w:val="0"/>
              <w:spacing w:after="0" w:afterAutospacing="1"/>
              <w:jc w:val="right"/>
              <w:rPr>
                <w:b w:val="0"/>
                <w:sz w:val="20"/>
              </w:rPr>
            </w:pPr>
            <w:r>
              <w:rPr>
                <w:b w:val="0"/>
                <w:sz w:val="20"/>
              </w:rPr>
              <w:t>82.8</w:t>
            </w:r>
          </w:p>
        </w:tc>
        <w:tc>
          <w:tcPr>
            <w:vAlign w:val="center"/>
          </w:tcPr>
          <w:p w:rsidR="001A6775">
            <w:pPr>
              <w:bidi w:val="0"/>
              <w:spacing w:after="0" w:afterAutospacing="1"/>
              <w:jc w:val="right"/>
              <w:rPr>
                <w:b w:val="0"/>
                <w:sz w:val="20"/>
              </w:rPr>
            </w:pPr>
            <w:r>
              <w:rPr>
                <w:b w:val="0"/>
                <w:sz w:val="20"/>
              </w:rPr>
              <w:t>81.8</w:t>
            </w:r>
          </w:p>
        </w:tc>
        <w:tc>
          <w:tcPr>
            <w:vAlign w:val="center"/>
          </w:tcPr>
          <w:p w:rsidR="001A6775">
            <w:pPr>
              <w:bidi w:val="0"/>
              <w:spacing w:after="0" w:afterAutospacing="1"/>
              <w:jc w:val="right"/>
              <w:rPr>
                <w:b w:val="0"/>
                <w:sz w:val="20"/>
              </w:rPr>
            </w:pPr>
            <w:r>
              <w:rPr>
                <w:b w:val="0"/>
                <w:sz w:val="20"/>
              </w:rPr>
              <w:t>127,069</w:t>
            </w:r>
          </w:p>
        </w:tc>
        <w:tc>
          <w:tcPr>
            <w:vAlign w:val="center"/>
          </w:tcPr>
          <w:p w:rsidR="001A6775">
            <w:pPr>
              <w:bidi w:val="0"/>
              <w:spacing w:after="0" w:afterAutospacing="1"/>
              <w:jc w:val="right"/>
              <w:rPr>
                <w:b w:val="0"/>
                <w:sz w:val="20"/>
              </w:rPr>
            </w:pPr>
            <w:r>
              <w:rPr>
                <w:b w:val="0"/>
                <w:sz w:val="20"/>
              </w:rPr>
              <w:t>82.7</w:t>
            </w:r>
          </w:p>
        </w:tc>
        <w:tc>
          <w:tcPr>
            <w:vAlign w:val="center"/>
          </w:tcPr>
          <w:p w:rsidR="001A6775">
            <w:pPr>
              <w:bidi w:val="0"/>
              <w:spacing w:after="0" w:afterAutospacing="1"/>
              <w:jc w:val="right"/>
              <w:rPr>
                <w:b w:val="0"/>
                <w:sz w:val="20"/>
              </w:rPr>
            </w:pPr>
            <w:r>
              <w:rPr>
                <w:b w:val="0"/>
                <w:sz w:val="20"/>
              </w:rPr>
              <w:t>80.8</w:t>
            </w:r>
          </w:p>
        </w:tc>
        <w:tc>
          <w:tcPr>
            <w:vAlign w:val="center"/>
          </w:tcPr>
          <w:p w:rsidR="001A6775">
            <w:pPr>
              <w:bidi w:val="0"/>
              <w:spacing w:after="0" w:afterAutospacing="1"/>
              <w:jc w:val="right"/>
              <w:rPr>
                <w:b w:val="0"/>
                <w:sz w:val="20"/>
              </w:rPr>
            </w:pPr>
            <w:r>
              <w:rPr>
                <w:b w:val="0"/>
                <w:sz w:val="20"/>
              </w:rPr>
              <w:t>+6,114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8,339</w:t>
            </w:r>
          </w:p>
        </w:tc>
        <w:tc>
          <w:tcPr>
            <w:vAlign w:val="center"/>
          </w:tcPr>
          <w:p w:rsidR="001A6775">
            <w:pPr>
              <w:bidi w:val="0"/>
              <w:spacing w:after="0" w:afterAutospacing="1"/>
              <w:jc w:val="right"/>
              <w:rPr>
                <w:b w:val="0"/>
                <w:sz w:val="20"/>
              </w:rPr>
            </w:pPr>
            <w:r>
              <w:rPr>
                <w:b w:val="0"/>
                <w:sz w:val="20"/>
              </w:rPr>
              <w:t>5.2</w:t>
            </w:r>
          </w:p>
        </w:tc>
        <w:tc>
          <w:tcPr>
            <w:vAlign w:val="center"/>
          </w:tcPr>
          <w:p w:rsidR="001A6775">
            <w:pPr>
              <w:bidi w:val="0"/>
              <w:spacing w:after="0" w:afterAutospacing="1"/>
              <w:jc w:val="right"/>
              <w:rPr>
                <w:b w:val="0"/>
                <w:sz w:val="20"/>
              </w:rPr>
            </w:pPr>
            <w:r>
              <w:rPr>
                <w:b w:val="0"/>
                <w:sz w:val="20"/>
              </w:rPr>
              <w:t>5.6</w:t>
            </w:r>
          </w:p>
        </w:tc>
        <w:tc>
          <w:tcPr>
            <w:vAlign w:val="center"/>
          </w:tcPr>
          <w:p w:rsidR="001A6775">
            <w:pPr>
              <w:bidi w:val="0"/>
              <w:spacing w:after="0" w:afterAutospacing="1"/>
              <w:jc w:val="right"/>
              <w:rPr>
                <w:b w:val="0"/>
                <w:sz w:val="20"/>
              </w:rPr>
            </w:pPr>
            <w:r>
              <w:rPr>
                <w:b w:val="0"/>
                <w:sz w:val="20"/>
              </w:rPr>
              <w:t>9,651</w:t>
            </w:r>
          </w:p>
        </w:tc>
        <w:tc>
          <w:tcPr>
            <w:vAlign w:val="center"/>
          </w:tcPr>
          <w:p w:rsidR="001A6775">
            <w:pPr>
              <w:bidi w:val="0"/>
              <w:spacing w:after="0" w:afterAutospacing="1"/>
              <w:jc w:val="right"/>
              <w:rPr>
                <w:b w:val="0"/>
                <w:sz w:val="20"/>
              </w:rPr>
            </w:pPr>
            <w:r>
              <w:rPr>
                <w:b w:val="0"/>
                <w:sz w:val="20"/>
              </w:rPr>
              <w:t>6.3</w:t>
            </w:r>
          </w:p>
        </w:tc>
        <w:tc>
          <w:tcPr>
            <w:vAlign w:val="center"/>
          </w:tcPr>
          <w:p w:rsidR="001A6775">
            <w:pPr>
              <w:bidi w:val="0"/>
              <w:spacing w:after="0" w:afterAutospacing="1"/>
              <w:jc w:val="right"/>
              <w:rPr>
                <w:b w:val="0"/>
                <w:sz w:val="20"/>
              </w:rPr>
            </w:pPr>
            <w:r>
              <w:rPr>
                <w:b w:val="0"/>
                <w:sz w:val="20"/>
              </w:rPr>
              <w:t>7.9</w:t>
            </w:r>
          </w:p>
        </w:tc>
        <w:tc>
          <w:tcPr>
            <w:vAlign w:val="center"/>
          </w:tcPr>
          <w:p w:rsidR="001A6775">
            <w:pPr>
              <w:bidi w:val="0"/>
              <w:spacing w:after="0" w:afterAutospacing="1"/>
              <w:jc w:val="right"/>
              <w:rPr>
                <w:b w:val="0"/>
                <w:sz w:val="20"/>
              </w:rPr>
            </w:pPr>
            <w:r>
              <w:rPr>
                <w:b w:val="0"/>
                <w:sz w:val="20"/>
              </w:rPr>
              <w:t>-1,312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persons aged 15+</w:t>
            </w:r>
          </w:p>
        </w:tc>
        <w:tc>
          <w:tcPr>
            <w:vAlign w:val="center"/>
          </w:tcPr>
          <w:p w:rsidR="001A6775">
            <w:pPr>
              <w:bidi w:val="0"/>
              <w:spacing w:after="0" w:afterAutospacing="1"/>
              <w:jc w:val="right"/>
              <w:rPr>
                <w:b/>
                <w:sz w:val="20"/>
              </w:rPr>
            </w:pPr>
            <w:r>
              <w:rPr>
                <w:b/>
                <w:sz w:val="20"/>
              </w:rPr>
              <w:t>160,815</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153,716</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+7,099</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unpaid care provided by the population in the City of Monash in 2021 compared to Greater Melbourne shows that there was a lower proportion of people who provided unpaid care either to family members or others.</w:t>
      </w:r>
    </w:p>
    <w:p>
      <w:pPr>
        <w:bidi w:val="0"/>
        <w:spacing w:after="280" w:afterAutospacing="1"/>
        <w:rPr>
          <w:rtl w:val="0"/>
        </w:rPr>
      </w:pPr>
      <w:r>
        <w:rPr>
          <w:rtl w:val="0"/>
        </w:rPr>
        <w:t>Overall, 12.0% of the population provided unpaid care, compared with 12.6% for Greater Melbourne.</w:t>
      </w:r>
    </w:p>
    <w:p w:rsidR="001A6775">
      <w:pPr>
        <w:bidi w:val="0"/>
        <w:spacing w:after="280" w:afterAutospacing="1"/>
      </w:pPr>
      <w:r>
        <w:rPr>
          <w:rtl w:val="0"/>
        </w:rPr>
        <w:t>The number of people who provided unpaid assistance to a person with a disability, long term illness or old age in the City of Monash increased by 2,297 between 2016 and 2021.</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