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Monash</w:t>
      </w:r>
    </w:p>
    <w:p w:rsidR="001A6775">
      <w:pPr>
        <w:pStyle w:val="Heading4"/>
        <w:bidi w:val="0"/>
        <w:spacing w:after="280" w:afterAutospacing="1"/>
      </w:pPr>
      <w:r>
        <w:rPr>
          <w:rtl w:val="0"/>
        </w:rPr>
        <w:t>Industry sector of employment</w:t>
      </w:r>
    </w:p>
    <w:p w:rsidR="001A6775">
      <w:pPr>
        <w:bidi w:val="0"/>
        <w:spacing w:after="280" w:afterAutospacing="1"/>
      </w:pPr>
      <w:r>
        <w:rPr>
          <w:rtl w:val="0"/>
        </w:rPr>
        <w:t xml:space="preserve">The City of Monash's industry statistics identify the industry sectors in which the residents work (which may be within the residing area or elsewhere). This will be influenced by the skill base and socio-economic status of the residents as well as the industries and employment opportunities present in the region. </w:t>
      </w:r>
    </w:p>
    <w:p>
      <w:pPr>
        <w:bidi w:val="0"/>
        <w:spacing w:after="280" w:afterAutospacing="1"/>
      </w:pPr>
      <w:r>
        <w:rPr>
          <w:rtl w:val="0"/>
        </w:rPr>
        <w:t xml:space="preserve">When viewed in conjunction with </w:t>
      </w:r>
      <w:r>
        <w:rPr>
          <w:rtl w:val="0"/>
        </w:rPr>
        <w:fldChar w:fldCharType="begin"/>
      </w:r>
      <w:r>
        <w:rPr>
          <w:rtl w:val="0"/>
        </w:rPr>
        <w:instrText xml:space="preserve"> HYPERLINK "residents?[QS]" </w:instrText>
      </w:r>
      <w:r>
        <w:rPr>
          <w:rtl w:val="0"/>
        </w:rPr>
        <w:fldChar w:fldCharType="separate"/>
      </w:r>
      <w:r>
        <w:rPr>
          <w:color w:val="0000FF"/>
          <w:u w:val="single"/>
          <w:rtl w:val="0"/>
        </w:rPr>
        <w:t>Residents Place of Work</w:t>
      </w:r>
      <w:r>
        <w:rPr>
          <w:rtl w:val="0"/>
        </w:rPr>
        <w:fldChar w:fldCharType="end"/>
      </w:r>
      <w:r>
        <w:rPr>
          <w:rtl w:val="0"/>
        </w:rPr>
        <w:t xml:space="preserve"> data and </w:t>
      </w:r>
      <w:r>
        <w:rPr>
          <w:rtl w:val="0"/>
        </w:rPr>
        <w:fldChar w:fldCharType="begin"/>
      </w:r>
      <w:r>
        <w:rPr>
          <w:rtl w:val="0"/>
        </w:rPr>
        <w:instrText xml:space="preserve"> HYPERLINK "travel-to-work?[QS]" </w:instrText>
      </w:r>
      <w:r>
        <w:rPr>
          <w:rtl w:val="0"/>
        </w:rPr>
        <w:fldChar w:fldCharType="separate"/>
      </w:r>
      <w:r>
        <w:rPr>
          <w:color w:val="0000FF"/>
          <w:u w:val="single"/>
          <w:rtl w:val="0"/>
        </w:rPr>
        <w:t>Method of Travel to Work</w:t>
      </w:r>
      <w:r>
        <w:rPr>
          <w:rtl w:val="0"/>
        </w:rPr>
        <w:fldChar w:fldCharType="end"/>
      </w:r>
      <w:r>
        <w:rPr>
          <w:rtl w:val="0"/>
        </w:rPr>
        <w:t>, industry sector statistics provide insights into the relationship between the economic and residential role of the area.</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Industry sector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Monash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Industry sector</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Melbourne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Melbourne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Agriculture, Forestry and Fishing</w:t>
            </w:r>
          </w:p>
        </w:tc>
        <w:tc>
          <w:tcPr>
            <w:vAlign w:val="center"/>
          </w:tcPr>
          <w:p w:rsidR="001A6775">
            <w:pPr>
              <w:bidi w:val="0"/>
              <w:spacing w:after="0" w:afterAutospacing="1"/>
              <w:jc w:val="right"/>
              <w:rPr>
                <w:b w:val="0"/>
                <w:sz w:val="20"/>
              </w:rPr>
            </w:pPr>
            <w:r>
              <w:rPr>
                <w:b w:val="0"/>
                <w:sz w:val="20"/>
              </w:rPr>
              <w:t>248</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207</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Mining</w:t>
            </w:r>
          </w:p>
        </w:tc>
        <w:tc>
          <w:tcPr>
            <w:vAlign w:val="center"/>
          </w:tcPr>
          <w:p w:rsidR="001A6775">
            <w:pPr>
              <w:bidi w:val="0"/>
              <w:spacing w:after="0" w:afterAutospacing="1"/>
              <w:jc w:val="right"/>
              <w:rPr>
                <w:b w:val="0"/>
                <w:sz w:val="20"/>
              </w:rPr>
            </w:pPr>
            <w:r>
              <w:rPr>
                <w:b w:val="0"/>
                <w:sz w:val="20"/>
              </w:rPr>
              <w:t>117</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Manufacturing</w:t>
            </w:r>
          </w:p>
        </w:tc>
        <w:tc>
          <w:tcPr>
            <w:vAlign w:val="center"/>
          </w:tcPr>
          <w:p w:rsidR="001A6775">
            <w:pPr>
              <w:bidi w:val="0"/>
              <w:spacing w:after="0" w:afterAutospacing="1"/>
              <w:jc w:val="right"/>
              <w:rPr>
                <w:b w:val="0"/>
                <w:sz w:val="20"/>
              </w:rPr>
            </w:pPr>
            <w:r>
              <w:rPr>
                <w:b w:val="0"/>
                <w:sz w:val="20"/>
              </w:rPr>
              <w:t>5,987</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5,746</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7.7</w:t>
            </w:r>
          </w:p>
        </w:tc>
        <w:tc>
          <w:tcPr>
            <w:vAlign w:val="center"/>
          </w:tcPr>
          <w:p w:rsidR="001A6775">
            <w:pPr>
              <w:bidi w:val="0"/>
              <w:spacing w:after="0" w:afterAutospacing="1"/>
              <w:jc w:val="right"/>
              <w:rPr>
                <w:b w:val="0"/>
                <w:sz w:val="20"/>
              </w:rPr>
            </w:pPr>
            <w:r>
              <w:rPr>
                <w:b w:val="0"/>
                <w:sz w:val="20"/>
              </w:rPr>
              <w:t>+241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Electricity, Gas, Water and Waste Services</w:t>
            </w:r>
          </w:p>
        </w:tc>
        <w:tc>
          <w:tcPr>
            <w:vAlign w:val="center"/>
          </w:tcPr>
          <w:p w:rsidR="001A6775">
            <w:pPr>
              <w:bidi w:val="0"/>
              <w:spacing w:after="0" w:afterAutospacing="1"/>
              <w:jc w:val="right"/>
              <w:rPr>
                <w:b w:val="0"/>
                <w:sz w:val="20"/>
              </w:rPr>
            </w:pPr>
            <w:r>
              <w:rPr>
                <w:b w:val="0"/>
                <w:sz w:val="20"/>
              </w:rPr>
              <w:t>876</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760</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Construction</w:t>
            </w:r>
          </w:p>
        </w:tc>
        <w:tc>
          <w:tcPr>
            <w:vAlign w:val="center"/>
          </w:tcPr>
          <w:p w:rsidR="001A6775">
            <w:pPr>
              <w:bidi w:val="0"/>
              <w:spacing w:after="0" w:afterAutospacing="1"/>
              <w:jc w:val="right"/>
              <w:rPr>
                <w:b w:val="0"/>
                <w:sz w:val="20"/>
              </w:rPr>
            </w:pPr>
            <w:r>
              <w:rPr>
                <w:b w:val="0"/>
                <w:sz w:val="20"/>
              </w:rPr>
              <w:t>6,120</w:t>
            </w:r>
          </w:p>
        </w:tc>
        <w:tc>
          <w:tcPr>
            <w:vAlign w:val="center"/>
          </w:tcPr>
          <w:p w:rsidR="001A6775">
            <w:pPr>
              <w:bidi w:val="0"/>
              <w:spacing w:after="0" w:afterAutospacing="1"/>
              <w:jc w:val="right"/>
              <w:rPr>
                <w:b w:val="0"/>
                <w:sz w:val="20"/>
              </w:rPr>
            </w:pPr>
            <w:r>
              <w:rPr>
                <w:b w:val="0"/>
                <w:sz w:val="20"/>
              </w:rPr>
              <w:t>6.6</w:t>
            </w:r>
          </w:p>
        </w:tc>
        <w:tc>
          <w:tcPr>
            <w:vAlign w:val="center"/>
          </w:tcPr>
          <w:p w:rsidR="001A6775">
            <w:pPr>
              <w:bidi w:val="0"/>
              <w:spacing w:after="0" w:afterAutospacing="1"/>
              <w:jc w:val="right"/>
              <w:rPr>
                <w:b w:val="0"/>
                <w:sz w:val="20"/>
              </w:rPr>
            </w:pPr>
            <w:r>
              <w:rPr>
                <w:b w:val="0"/>
                <w:sz w:val="20"/>
              </w:rPr>
              <w:t>9.3</w:t>
            </w:r>
          </w:p>
        </w:tc>
        <w:tc>
          <w:tcPr>
            <w:vAlign w:val="center"/>
          </w:tcPr>
          <w:p w:rsidR="001A6775">
            <w:pPr>
              <w:bidi w:val="0"/>
              <w:spacing w:after="0" w:afterAutospacing="1"/>
              <w:jc w:val="right"/>
              <w:rPr>
                <w:b w:val="0"/>
                <w:sz w:val="20"/>
              </w:rPr>
            </w:pPr>
            <w:r>
              <w:rPr>
                <w:b w:val="0"/>
                <w:sz w:val="20"/>
              </w:rPr>
              <w:t>4,652</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+1,468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Wholesale trade</w:t>
            </w:r>
          </w:p>
        </w:tc>
        <w:tc>
          <w:tcPr>
            <w:vAlign w:val="center"/>
          </w:tcPr>
          <w:p w:rsidR="001A6775">
            <w:pPr>
              <w:bidi w:val="0"/>
              <w:spacing w:after="0" w:afterAutospacing="1"/>
              <w:jc w:val="right"/>
              <w:rPr>
                <w:b w:val="0"/>
                <w:sz w:val="20"/>
              </w:rPr>
            </w:pPr>
            <w:r>
              <w:rPr>
                <w:b w:val="0"/>
                <w:sz w:val="20"/>
              </w:rPr>
              <w:t>3,415</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3,453</w:t>
            </w:r>
          </w:p>
        </w:tc>
        <w:tc>
          <w:tcPr>
            <w:vAlign w:val="center"/>
          </w:tcPr>
          <w:p w:rsidR="001A6775">
            <w:pPr>
              <w:bidi w:val="0"/>
              <w:spacing w:after="0" w:afterAutospacing="1"/>
              <w:jc w:val="right"/>
              <w:rPr>
                <w:b w:val="0"/>
                <w:sz w:val="20"/>
              </w:rPr>
            </w:pPr>
            <w:r>
              <w:rPr>
                <w:b w:val="0"/>
                <w:sz w:val="20"/>
              </w:rPr>
              <w:t>4.3</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Retail Trade</w:t>
            </w:r>
          </w:p>
        </w:tc>
        <w:tc>
          <w:tcPr>
            <w:vAlign w:val="center"/>
          </w:tcPr>
          <w:p w:rsidR="001A6775">
            <w:pPr>
              <w:bidi w:val="0"/>
              <w:spacing w:after="0" w:afterAutospacing="1"/>
              <w:jc w:val="right"/>
              <w:rPr>
                <w:b w:val="0"/>
                <w:sz w:val="20"/>
              </w:rPr>
            </w:pPr>
            <w:r>
              <w:rPr>
                <w:b w:val="0"/>
                <w:sz w:val="20"/>
              </w:rPr>
              <w:t>9,305</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8,593</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+712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Accommodation and Food Services</w:t>
            </w:r>
          </w:p>
        </w:tc>
        <w:tc>
          <w:tcPr>
            <w:vAlign w:val="center"/>
          </w:tcPr>
          <w:p w:rsidR="001A6775">
            <w:pPr>
              <w:bidi w:val="0"/>
              <w:spacing w:after="0" w:afterAutospacing="1"/>
              <w:jc w:val="right"/>
              <w:rPr>
                <w:b w:val="0"/>
                <w:sz w:val="20"/>
              </w:rPr>
            </w:pPr>
            <w:r>
              <w:rPr>
                <w:b w:val="0"/>
                <w:sz w:val="20"/>
              </w:rPr>
              <w:t>6,251</w:t>
            </w:r>
          </w:p>
        </w:tc>
        <w:tc>
          <w:tcPr>
            <w:vAlign w:val="center"/>
          </w:tcPr>
          <w:p w:rsidR="001A6775">
            <w:pPr>
              <w:bidi w:val="0"/>
              <w:spacing w:after="0" w:afterAutospacing="1"/>
              <w:jc w:val="right"/>
              <w:rPr>
                <w:b w:val="0"/>
                <w:sz w:val="20"/>
              </w:rPr>
            </w:pPr>
            <w:r>
              <w:rPr>
                <w:b w:val="0"/>
                <w:sz w:val="20"/>
              </w:rPr>
              <w:t>6.8</w:t>
            </w:r>
          </w:p>
        </w:tc>
        <w:tc>
          <w:tcPr>
            <w:vAlign w:val="center"/>
          </w:tcPr>
          <w:p w:rsidR="001A6775">
            <w:pPr>
              <w:bidi w:val="0"/>
              <w:spacing w:after="0" w:afterAutospacing="1"/>
              <w:jc w:val="right"/>
              <w:rPr>
                <w:b w:val="0"/>
                <w:sz w:val="20"/>
              </w:rPr>
            </w:pPr>
            <w:r>
              <w:rPr>
                <w:b w:val="0"/>
                <w:sz w:val="20"/>
              </w:rPr>
              <w:t>6.1</w:t>
            </w:r>
          </w:p>
        </w:tc>
        <w:tc>
          <w:tcPr>
            <w:vAlign w:val="center"/>
          </w:tcPr>
          <w:p w:rsidR="001A6775">
            <w:pPr>
              <w:bidi w:val="0"/>
              <w:spacing w:after="0" w:afterAutospacing="1"/>
              <w:jc w:val="right"/>
              <w:rPr>
                <w:b w:val="0"/>
                <w:sz w:val="20"/>
              </w:rPr>
            </w:pPr>
            <w:r>
              <w:rPr>
                <w:b w:val="0"/>
                <w:sz w:val="20"/>
              </w:rPr>
              <w:t>5,504</w:t>
            </w:r>
          </w:p>
        </w:tc>
        <w:tc>
          <w:tcPr>
            <w:vAlign w:val="center"/>
          </w:tcPr>
          <w:p w:rsidR="001A6775">
            <w:pPr>
              <w:bidi w:val="0"/>
              <w:spacing w:after="0" w:afterAutospacing="1"/>
              <w:jc w:val="right"/>
              <w:rPr>
                <w:b w:val="0"/>
                <w:sz w:val="20"/>
              </w:rPr>
            </w:pPr>
            <w:r>
              <w:rPr>
                <w:b w:val="0"/>
                <w:sz w:val="20"/>
              </w:rPr>
              <w:t>6.8</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+747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Transport, Postal and Warehousing</w:t>
            </w:r>
          </w:p>
        </w:tc>
        <w:tc>
          <w:tcPr>
            <w:vAlign w:val="center"/>
          </w:tcPr>
          <w:p w:rsidR="001A6775">
            <w:pPr>
              <w:bidi w:val="0"/>
              <w:spacing w:after="0" w:afterAutospacing="1"/>
              <w:jc w:val="right"/>
              <w:rPr>
                <w:b w:val="0"/>
                <w:sz w:val="20"/>
              </w:rPr>
            </w:pPr>
            <w:r>
              <w:rPr>
                <w:b w:val="0"/>
                <w:sz w:val="20"/>
              </w:rPr>
              <w:t>3,514</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2,896</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+618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Information Media and Telecommunications</w:t>
            </w:r>
          </w:p>
        </w:tc>
        <w:tc>
          <w:tcPr>
            <w:vAlign w:val="center"/>
          </w:tcPr>
          <w:p w:rsidR="001A6775">
            <w:pPr>
              <w:bidi w:val="0"/>
              <w:spacing w:after="0" w:afterAutospacing="1"/>
              <w:jc w:val="right"/>
              <w:rPr>
                <w:b w:val="0"/>
                <w:sz w:val="20"/>
              </w:rPr>
            </w:pPr>
            <w:r>
              <w:rPr>
                <w:b w:val="0"/>
                <w:sz w:val="20"/>
              </w:rPr>
              <w:t>1,822</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2,002</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-180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Financial and Insurance Services</w:t>
            </w:r>
          </w:p>
        </w:tc>
        <w:tc>
          <w:tcPr>
            <w:vAlign w:val="center"/>
          </w:tcPr>
          <w:p w:rsidR="001A6775">
            <w:pPr>
              <w:bidi w:val="0"/>
              <w:spacing w:after="0" w:afterAutospacing="1"/>
              <w:jc w:val="right"/>
              <w:rPr>
                <w:b w:val="0"/>
                <w:sz w:val="20"/>
              </w:rPr>
            </w:pPr>
            <w:r>
              <w:rPr>
                <w:b w:val="0"/>
                <w:sz w:val="20"/>
              </w:rPr>
              <w:t>5,247</w:t>
            </w:r>
          </w:p>
        </w:tc>
        <w:tc>
          <w:tcPr>
            <w:vAlign w:val="center"/>
          </w:tcPr>
          <w:p w:rsidR="001A6775">
            <w:pPr>
              <w:bidi w:val="0"/>
              <w:spacing w:after="0" w:afterAutospacing="1"/>
              <w:jc w:val="right"/>
              <w:rPr>
                <w:b w:val="0"/>
                <w:sz w:val="20"/>
              </w:rPr>
            </w:pPr>
            <w:r>
              <w:rPr>
                <w:b w:val="0"/>
                <w:sz w:val="20"/>
              </w:rPr>
              <w:t>5.7</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4,267</w:t>
            </w:r>
          </w:p>
        </w:tc>
        <w:tc>
          <w:tcPr>
            <w:vAlign w:val="center"/>
          </w:tcPr>
          <w:p w:rsidR="001A6775">
            <w:pPr>
              <w:bidi w:val="0"/>
              <w:spacing w:after="0" w:afterAutospacing="1"/>
              <w:jc w:val="right"/>
              <w:rPr>
                <w:b w:val="0"/>
                <w:sz w:val="20"/>
              </w:rPr>
            </w:pPr>
            <w:r>
              <w:rPr>
                <w:b w:val="0"/>
                <w:sz w:val="20"/>
              </w:rPr>
              <w:t>5.3</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+980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Rental, Hiring and Real Estate Services</w:t>
            </w:r>
          </w:p>
        </w:tc>
        <w:tc>
          <w:tcPr>
            <w:vAlign w:val="center"/>
          </w:tcPr>
          <w:p w:rsidR="001A6775">
            <w:pPr>
              <w:bidi w:val="0"/>
              <w:spacing w:after="0" w:afterAutospacing="1"/>
              <w:jc w:val="right"/>
              <w:rPr>
                <w:b w:val="0"/>
                <w:sz w:val="20"/>
              </w:rPr>
            </w:pPr>
            <w:r>
              <w:rPr>
                <w:b w:val="0"/>
                <w:sz w:val="20"/>
              </w:rPr>
              <w:t>1,474</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1,479</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 Scientific and Technical Services</w:t>
            </w:r>
          </w:p>
        </w:tc>
        <w:tc>
          <w:tcPr>
            <w:vAlign w:val="center"/>
          </w:tcPr>
          <w:p w:rsidR="001A6775">
            <w:pPr>
              <w:bidi w:val="0"/>
              <w:spacing w:after="0" w:afterAutospacing="1"/>
              <w:jc w:val="right"/>
              <w:rPr>
                <w:b w:val="0"/>
                <w:sz w:val="20"/>
              </w:rPr>
            </w:pPr>
            <w:r>
              <w:rPr>
                <w:b w:val="0"/>
                <w:sz w:val="20"/>
              </w:rPr>
              <w:t>10,615</w:t>
            </w:r>
          </w:p>
        </w:tc>
        <w:tc>
          <w:tcPr>
            <w:vAlign w:val="center"/>
          </w:tcPr>
          <w:p w:rsidR="001A6775">
            <w:pPr>
              <w:bidi w:val="0"/>
              <w:spacing w:after="0" w:afterAutospacing="1"/>
              <w:jc w:val="right"/>
              <w:rPr>
                <w:b w:val="0"/>
                <w:sz w:val="20"/>
              </w:rPr>
            </w:pPr>
            <w:r>
              <w:rPr>
                <w:b w:val="0"/>
                <w:sz w:val="20"/>
              </w:rPr>
              <w:t>11.5</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8,920</w:t>
            </w:r>
          </w:p>
        </w:tc>
        <w:tc>
          <w:tcPr>
            <w:vAlign w:val="center"/>
          </w:tcPr>
          <w:p w:rsidR="001A6775">
            <w:pPr>
              <w:bidi w:val="0"/>
              <w:spacing w:after="0" w:afterAutospacing="1"/>
              <w:jc w:val="right"/>
              <w:rPr>
                <w:b w:val="0"/>
                <w:sz w:val="20"/>
              </w:rPr>
            </w:pPr>
            <w:r>
              <w:rPr>
                <w:b w:val="0"/>
                <w:sz w:val="20"/>
              </w:rPr>
              <w:t>11.1</w:t>
            </w:r>
          </w:p>
        </w:tc>
        <w:tc>
          <w:tcPr>
            <w:vAlign w:val="center"/>
          </w:tcPr>
          <w:p w:rsidR="001A6775">
            <w:pPr>
              <w:bidi w:val="0"/>
              <w:spacing w:after="0" w:afterAutospacing="1"/>
              <w:jc w:val="right"/>
              <w:rPr>
                <w:b w:val="0"/>
                <w:sz w:val="20"/>
              </w:rPr>
            </w:pPr>
            <w:r>
              <w:rPr>
                <w:b w:val="0"/>
                <w:sz w:val="20"/>
              </w:rPr>
              <w:t>9.0</w:t>
            </w:r>
          </w:p>
        </w:tc>
        <w:tc>
          <w:tcPr>
            <w:vAlign w:val="center"/>
          </w:tcPr>
          <w:p w:rsidR="001A6775">
            <w:pPr>
              <w:bidi w:val="0"/>
              <w:spacing w:after="0" w:afterAutospacing="1"/>
              <w:jc w:val="right"/>
              <w:rPr>
                <w:b w:val="0"/>
                <w:sz w:val="20"/>
              </w:rPr>
            </w:pPr>
            <w:r>
              <w:rPr>
                <w:b w:val="0"/>
                <w:sz w:val="20"/>
              </w:rPr>
              <w:t>+1,695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Administrative and Support Services</w:t>
            </w:r>
          </w:p>
        </w:tc>
        <w:tc>
          <w:tcPr>
            <w:vAlign w:val="center"/>
          </w:tcPr>
          <w:p w:rsidR="001A6775">
            <w:pPr>
              <w:bidi w:val="0"/>
              <w:spacing w:after="0" w:afterAutospacing="1"/>
              <w:jc w:val="right"/>
              <w:rPr>
                <w:b w:val="0"/>
                <w:sz w:val="20"/>
              </w:rPr>
            </w:pPr>
            <w:r>
              <w:rPr>
                <w:b w:val="0"/>
                <w:sz w:val="20"/>
              </w:rPr>
              <w:t>3,204</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3,004</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+200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Public Administration and Safety</w:t>
            </w:r>
          </w:p>
        </w:tc>
        <w:tc>
          <w:tcPr>
            <w:vAlign w:val="center"/>
          </w:tcPr>
          <w:p w:rsidR="001A6775">
            <w:pPr>
              <w:bidi w:val="0"/>
              <w:spacing w:after="0" w:afterAutospacing="1"/>
              <w:jc w:val="right"/>
              <w:rPr>
                <w:b w:val="0"/>
                <w:sz w:val="20"/>
              </w:rPr>
            </w:pPr>
            <w:r>
              <w:rPr>
                <w:b w:val="0"/>
                <w:sz w:val="20"/>
              </w:rPr>
              <w:t>3,750</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3,192</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+558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Education and Training</w:t>
            </w:r>
          </w:p>
        </w:tc>
        <w:tc>
          <w:tcPr>
            <w:vAlign w:val="center"/>
          </w:tcPr>
          <w:p w:rsidR="001A6775">
            <w:pPr>
              <w:bidi w:val="0"/>
              <w:spacing w:after="0" w:afterAutospacing="1"/>
              <w:jc w:val="right"/>
              <w:rPr>
                <w:b w:val="0"/>
                <w:sz w:val="20"/>
              </w:rPr>
            </w:pPr>
            <w:r>
              <w:rPr>
                <w:b w:val="0"/>
                <w:sz w:val="20"/>
              </w:rPr>
              <w:t>9,060</w:t>
            </w:r>
          </w:p>
        </w:tc>
        <w:tc>
          <w:tcPr>
            <w:vAlign w:val="center"/>
          </w:tcPr>
          <w:p w:rsidR="001A6775">
            <w:pPr>
              <w:bidi w:val="0"/>
              <w:spacing w:after="0" w:afterAutospacing="1"/>
              <w:jc w:val="right"/>
              <w:rPr>
                <w:b w:val="0"/>
                <w:sz w:val="20"/>
              </w:rPr>
            </w:pPr>
            <w:r>
              <w:rPr>
                <w:b w:val="0"/>
                <w:sz w:val="20"/>
              </w:rPr>
              <w:t>9.8</w:t>
            </w:r>
          </w:p>
        </w:tc>
        <w:tc>
          <w:tcPr>
            <w:vAlign w:val="center"/>
          </w:tcPr>
          <w:p w:rsidR="001A6775">
            <w:pPr>
              <w:bidi w:val="0"/>
              <w:spacing w:after="0" w:afterAutospacing="1"/>
              <w:jc w:val="right"/>
              <w:rPr>
                <w:b w:val="0"/>
                <w:sz w:val="20"/>
              </w:rPr>
            </w:pPr>
            <w:r>
              <w:rPr>
                <w:b w:val="0"/>
                <w:sz w:val="20"/>
              </w:rPr>
              <w:t>8.8</w:t>
            </w:r>
          </w:p>
        </w:tc>
        <w:tc>
          <w:tcPr>
            <w:vAlign w:val="center"/>
          </w:tcPr>
          <w:p w:rsidR="001A6775">
            <w:pPr>
              <w:bidi w:val="0"/>
              <w:spacing w:after="0" w:afterAutospacing="1"/>
              <w:jc w:val="right"/>
              <w:rPr>
                <w:b w:val="0"/>
                <w:sz w:val="20"/>
              </w:rPr>
            </w:pPr>
            <w:r>
              <w:rPr>
                <w:b w:val="0"/>
                <w:sz w:val="20"/>
              </w:rPr>
              <w:t>7,960</w:t>
            </w:r>
          </w:p>
        </w:tc>
        <w:tc>
          <w:tcPr>
            <w:vAlign w:val="center"/>
          </w:tcPr>
          <w:p w:rsidR="001A6775">
            <w:pPr>
              <w:bidi w:val="0"/>
              <w:spacing w:after="0" w:afterAutospacing="1"/>
              <w:jc w:val="right"/>
              <w:rPr>
                <w:b w:val="0"/>
                <w:sz w:val="20"/>
              </w:rPr>
            </w:pPr>
            <w:r>
              <w:rPr>
                <w:b w:val="0"/>
                <w:sz w:val="20"/>
              </w:rPr>
              <w:t>9.9</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+1,100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Health Care and Social Assistance</w:t>
            </w:r>
          </w:p>
        </w:tc>
        <w:tc>
          <w:tcPr>
            <w:vAlign w:val="center"/>
          </w:tcPr>
          <w:p w:rsidR="001A6775">
            <w:pPr>
              <w:bidi w:val="0"/>
              <w:spacing w:after="0" w:afterAutospacing="1"/>
              <w:jc w:val="right"/>
              <w:rPr>
                <w:b w:val="0"/>
                <w:sz w:val="20"/>
              </w:rPr>
            </w:pPr>
            <w:r>
              <w:rPr>
                <w:b w:val="0"/>
                <w:sz w:val="20"/>
              </w:rPr>
              <w:t>12,438</w:t>
            </w:r>
          </w:p>
        </w:tc>
        <w:tc>
          <w:tcPr>
            <w:vAlign w:val="center"/>
          </w:tcPr>
          <w:p w:rsidR="001A6775">
            <w:pPr>
              <w:bidi w:val="0"/>
              <w:spacing w:after="0" w:afterAutospacing="1"/>
              <w:jc w:val="right"/>
              <w:rPr>
                <w:b w:val="0"/>
                <w:sz w:val="20"/>
              </w:rPr>
            </w:pPr>
            <w:r>
              <w:rPr>
                <w:b w:val="0"/>
                <w:sz w:val="20"/>
              </w:rPr>
              <w:t>13.5</w:t>
            </w:r>
          </w:p>
        </w:tc>
        <w:tc>
          <w:tcPr>
            <w:vAlign w:val="center"/>
          </w:tcPr>
          <w:p w:rsidR="001A6775">
            <w:pPr>
              <w:bidi w:val="0"/>
              <w:spacing w:after="0" w:afterAutospacing="1"/>
              <w:jc w:val="right"/>
              <w:rPr>
                <w:b w:val="0"/>
                <w:sz w:val="20"/>
              </w:rPr>
            </w:pPr>
            <w:r>
              <w:rPr>
                <w:b w:val="0"/>
                <w:sz w:val="20"/>
              </w:rPr>
              <w:t>13.5</w:t>
            </w:r>
          </w:p>
        </w:tc>
        <w:tc>
          <w:tcPr>
            <w:vAlign w:val="center"/>
          </w:tcPr>
          <w:p w:rsidR="001A6775">
            <w:pPr>
              <w:bidi w:val="0"/>
              <w:spacing w:after="0" w:afterAutospacing="1"/>
              <w:jc w:val="right"/>
              <w:rPr>
                <w:b w:val="0"/>
                <w:sz w:val="20"/>
              </w:rPr>
            </w:pPr>
            <w:r>
              <w:rPr>
                <w:b w:val="0"/>
                <w:sz w:val="20"/>
              </w:rPr>
              <w:t>9,728</w:t>
            </w:r>
          </w:p>
        </w:tc>
        <w:tc>
          <w:tcPr>
            <w:vAlign w:val="center"/>
          </w:tcPr>
          <w:p w:rsidR="001A6775">
            <w:pPr>
              <w:bidi w:val="0"/>
              <w:spacing w:after="0" w:afterAutospacing="1"/>
              <w:jc w:val="right"/>
              <w:rPr>
                <w:b w:val="0"/>
                <w:sz w:val="20"/>
              </w:rPr>
            </w:pPr>
            <w:r>
              <w:rPr>
                <w:b w:val="0"/>
                <w:sz w:val="20"/>
              </w:rPr>
              <w:t>12.1</w:t>
            </w:r>
          </w:p>
        </w:tc>
        <w:tc>
          <w:tcPr>
            <w:vAlign w:val="center"/>
          </w:tcPr>
          <w:p w:rsidR="001A6775">
            <w:pPr>
              <w:bidi w:val="0"/>
              <w:spacing w:after="0" w:afterAutospacing="1"/>
              <w:jc w:val="right"/>
              <w:rPr>
                <w:b w:val="0"/>
                <w:sz w:val="20"/>
              </w:rPr>
            </w:pPr>
            <w:r>
              <w:rPr>
                <w:b w:val="0"/>
                <w:sz w:val="20"/>
              </w:rPr>
              <w:t>12.0</w:t>
            </w:r>
          </w:p>
        </w:tc>
        <w:tc>
          <w:tcPr>
            <w:vAlign w:val="center"/>
          </w:tcPr>
          <w:p w:rsidR="001A6775">
            <w:pPr>
              <w:bidi w:val="0"/>
              <w:spacing w:after="0" w:afterAutospacing="1"/>
              <w:jc w:val="right"/>
              <w:rPr>
                <w:b w:val="0"/>
                <w:sz w:val="20"/>
              </w:rPr>
            </w:pPr>
            <w:r>
              <w:rPr>
                <w:b w:val="0"/>
                <w:sz w:val="20"/>
              </w:rPr>
              <w:t>+2,710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Arts and Recreation Services</w:t>
            </w:r>
          </w:p>
        </w:tc>
        <w:tc>
          <w:tcPr>
            <w:vAlign w:val="center"/>
          </w:tcPr>
          <w:p w:rsidR="001A6775">
            <w:pPr>
              <w:bidi w:val="0"/>
              <w:spacing w:after="0" w:afterAutospacing="1"/>
              <w:jc w:val="right"/>
              <w:rPr>
                <w:b w:val="0"/>
                <w:sz w:val="20"/>
              </w:rPr>
            </w:pPr>
            <w:r>
              <w:rPr>
                <w:b w:val="0"/>
                <w:sz w:val="20"/>
              </w:rPr>
              <w:t>1,254</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1,345</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Services</w:t>
            </w:r>
          </w:p>
        </w:tc>
        <w:tc>
          <w:tcPr>
            <w:vAlign w:val="center"/>
          </w:tcPr>
          <w:p w:rsidR="001A6775">
            <w:pPr>
              <w:bidi w:val="0"/>
              <w:spacing w:after="0" w:afterAutospacing="1"/>
              <w:jc w:val="right"/>
              <w:rPr>
                <w:b w:val="0"/>
                <w:sz w:val="20"/>
              </w:rPr>
            </w:pPr>
            <w:r>
              <w:rPr>
                <w:b w:val="0"/>
                <w:sz w:val="20"/>
              </w:rPr>
              <w:t>2,874</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2,599</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+275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Inadequately described or not stated</w:t>
            </w:r>
          </w:p>
        </w:tc>
        <w:tc>
          <w:tcPr>
            <w:vAlign w:val="center"/>
          </w:tcPr>
          <w:p w:rsidR="001A6775">
            <w:pPr>
              <w:bidi w:val="0"/>
              <w:spacing w:after="0" w:afterAutospacing="1"/>
              <w:jc w:val="right"/>
              <w:rPr>
                <w:b w:val="0"/>
                <w:sz w:val="20"/>
              </w:rPr>
            </w:pPr>
            <w:r>
              <w:rPr>
                <w:b w:val="0"/>
                <w:sz w:val="20"/>
              </w:rPr>
              <w:t>4,509</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3,975</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+534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92,080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80,394</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+11,686</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422.5pt;width:481pt">
            <v:imagedata r:id="rId6" o:title=""/>
          </v:shape>
        </w:pict>
      </w:r>
    </w:p>
    <w:p w:rsidR="001A6775">
      <w:pPr>
        <w:bidi w:val="0"/>
        <w:spacing w:after="280" w:afterAutospacing="1"/>
      </w:pPr>
      <w:r>
        <w:rPr>
          <w:rtl w:val="0"/>
        </w:rPr>
        <w:t>An analysis of the jobs held by the resident population in City of Monash in 2021 shows the three most popular industry sectors were:</w:t>
      </w:r>
    </w:p>
    <w:p>
      <w:pPr>
        <w:numPr>
          <w:ilvl w:val="0"/>
          <w:numId w:val="1"/>
        </w:numPr>
        <w:bidi w:val="0"/>
        <w:spacing w:after="0" w:afterAutospacing="0"/>
        <w:rPr>
          <w:rtl w:val="0"/>
        </w:rPr>
      </w:pPr>
      <w:r>
        <w:rPr>
          <w:rtl w:val="0"/>
        </w:rPr>
        <w:t>Health Care and Social Assistance (12,438 people or 13.5%)</w:t>
      </w:r>
    </w:p>
    <w:p>
      <w:pPr>
        <w:numPr>
          <w:ilvl w:val="0"/>
          <w:numId w:val="1"/>
        </w:numPr>
        <w:bidi w:val="0"/>
        <w:spacing w:after="0" w:afterAutospacing="0"/>
        <w:ind w:left="720"/>
        <w:rPr>
          <w:rtl w:val="0"/>
        </w:rPr>
      </w:pPr>
      <w:r>
        <w:rPr>
          <w:rtl w:val="0"/>
        </w:rPr>
        <w:t>Professional, Scientific and Technical Services (10,615 people or 11.5%)</w:t>
      </w:r>
    </w:p>
    <w:p>
      <w:pPr>
        <w:numPr>
          <w:ilvl w:val="0"/>
          <w:numId w:val="1"/>
        </w:numPr>
        <w:bidi w:val="0"/>
        <w:spacing w:after="280" w:afterAutospacing="1"/>
        <w:ind w:left="720"/>
        <w:rPr>
          <w:rtl w:val="0"/>
        </w:rPr>
      </w:pPr>
      <w:r>
        <w:rPr>
          <w:rtl w:val="0"/>
        </w:rPr>
        <w:t>Retail Trade (9,305 people or 10.1%)</w:t>
      </w:r>
    </w:p>
    <w:p>
      <w:pPr>
        <w:bidi w:val="0"/>
        <w:spacing w:after="280" w:afterAutospacing="1"/>
        <w:rPr>
          <w:rtl w:val="0"/>
        </w:rPr>
      </w:pPr>
      <w:r>
        <w:rPr>
          <w:rtl w:val="0"/>
        </w:rPr>
        <w:t>In combination, these three industries employed 32,358 people in total or 35.1% of the total employed resident population.</w:t>
      </w:r>
    </w:p>
    <w:p>
      <w:pPr>
        <w:bidi w:val="0"/>
        <w:spacing w:after="280" w:afterAutospacing="1"/>
        <w:rPr>
          <w:rtl w:val="0"/>
        </w:rPr>
      </w:pPr>
      <w:r>
        <w:rPr>
          <w:rtl w:val="0"/>
        </w:rPr>
        <w:t>In comparison, Greater Melbourne employed 13.5% in Health Care and Social Assistance; 9.6% in Professional, Scientific and Technical Services; and 9.4% in Retail Trade.</w:t>
      </w:r>
    </w:p>
    <w:p>
      <w:pPr>
        <w:bidi w:val="0"/>
        <w:spacing w:after="280" w:afterAutospacing="1"/>
        <w:rPr>
          <w:rtl w:val="0"/>
        </w:rPr>
      </w:pPr>
      <w:r>
        <w:rPr>
          <w:rtl w:val="0"/>
        </w:rPr>
        <w:t>The major differences between the jobs held by the population of the City of Monash and Greater Melbourne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persons employed in professional, scientific and technical services (11.5% compared to 9.6%)</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in construction (6.6% compared to 9.3%)</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in public administration and safety (4.1% compared to 5.4%)</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in transport, postal and warehousing (3.8% compared to 4.9%)</w:t>
      </w:r>
    </w:p>
    <w:p w:rsidR="001A6775">
      <w:pPr>
        <w:bidi w:val="0"/>
        <w:spacing w:after="280" w:afterAutospacing="1"/>
      </w:pPr>
      <w:r>
        <w:rPr>
          <w:rtl w:val="0"/>
        </w:rPr>
        <w:t>The number of employed people in City of Monash increased by 11,686 between 2016 and 2021.</w:t>
      </w:r>
    </w:p>
    <w:p>
      <w:pPr>
        <w:bidi w:val="0"/>
        <w:spacing w:after="280" w:afterAutospacing="1"/>
        <w:rPr>
          <w:rtl w:val="0"/>
        </w:rPr>
      </w:pPr>
      <w:r>
        <w:rPr>
          <w:rtl w:val="0"/>
        </w:rPr>
        <w:t>The largest changes in the jobs held by the resident population between 2016 and 2021 in the City of Monash were for those employed in:</w:t>
      </w:r>
    </w:p>
    <w:p>
      <w:pPr>
        <w:numPr>
          <w:ilvl w:val="0"/>
          <w:numId w:val="3"/>
        </w:numPr>
        <w:bidi w:val="0"/>
        <w:spacing w:after="0" w:afterAutospacing="0"/>
        <w:rPr>
          <w:rtl w:val="0"/>
        </w:rPr>
      </w:pPr>
      <w:r>
        <w:rPr>
          <w:rtl w:val="0"/>
        </w:rPr>
        <w:t>Health Care and Social Assistance (+2,710 persons)</w:t>
      </w:r>
    </w:p>
    <w:p>
      <w:pPr>
        <w:numPr>
          <w:ilvl w:val="0"/>
          <w:numId w:val="3"/>
        </w:numPr>
        <w:bidi w:val="0"/>
        <w:spacing w:after="0" w:afterAutospacing="0"/>
        <w:ind w:left="720"/>
        <w:rPr>
          <w:rtl w:val="0"/>
        </w:rPr>
      </w:pPr>
      <w:r>
        <w:rPr>
          <w:rtl w:val="0"/>
        </w:rPr>
        <w:t>Professional, Scientific and Technical Services (+1,695 persons)</w:t>
      </w:r>
    </w:p>
    <w:p>
      <w:pPr>
        <w:numPr>
          <w:ilvl w:val="0"/>
          <w:numId w:val="3"/>
        </w:numPr>
        <w:bidi w:val="0"/>
        <w:spacing w:after="0" w:afterAutospacing="0"/>
        <w:ind w:left="720"/>
        <w:rPr>
          <w:rtl w:val="0"/>
        </w:rPr>
      </w:pPr>
      <w:r>
        <w:rPr>
          <w:rtl w:val="0"/>
        </w:rPr>
        <w:t>Construction (+1,468 persons)</w:t>
      </w:r>
    </w:p>
    <w:p>
      <w:pPr>
        <w:numPr>
          <w:ilvl w:val="0"/>
          <w:numId w:val="3"/>
        </w:numPr>
        <w:bidi w:val="0"/>
        <w:spacing w:after="280" w:afterAutospacing="1"/>
        <w:ind w:left="720"/>
        <w:rPr>
          <w:rtl w:val="0"/>
        </w:rPr>
      </w:pPr>
      <w:r>
        <w:rPr>
          <w:rtl w:val="0"/>
        </w:rPr>
        <w:t>Education and Training (+1,100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