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Joondalup</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Warwick's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Warwick's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Warwick - Employed persons (Enumerated)</w:t>
            </w:r>
          </w:p>
        </w:tc>
        <w:tc>
          <w:tcPr>
            <w:hMerge w:val="restart"/>
          </w:tcPr>
          <w:p w:rsidR="001A6775">
            <w:pPr>
              <w:bidi w:val="0"/>
              <w:spacing w:after="0" w:afterAutospacing="1"/>
              <w:jc w:val="center"/>
              <w:rPr>
                <w:b/>
                <w:sz w:val="2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Joondalup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Joondalup %</w:t>
            </w:r>
          </w:p>
        </w:tc>
        <w:tc>
          <w:tcPr>
            <w:vAlign w:val="center"/>
          </w:tcPr>
          <w:p w:rsidR="001A6775">
            <w:pPr>
              <w:bidi w:val="0"/>
              <w:spacing w:after="0" w:afterAutospacing="1"/>
              <w:jc w:val="right"/>
              <w:rPr>
                <w:b/>
                <w:sz w:val="20"/>
              </w:rPr>
            </w:pPr>
            <w:r>
              <w:rPr>
                <w:b/>
                <w:sz w:val="20"/>
              </w:rPr>
              <w:t>2011 to 2016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190</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209</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12.1</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416</w:t>
            </w:r>
          </w:p>
        </w:tc>
        <w:tc>
          <w:tcPr>
            <w:vAlign w:val="center"/>
          </w:tcPr>
          <w:p w:rsidR="001A6775">
            <w:pPr>
              <w:bidi w:val="0"/>
              <w:spacing w:after="0" w:afterAutospacing="1"/>
              <w:jc w:val="right"/>
              <w:rPr>
                <w:b w:val="0"/>
                <w:sz w:val="20"/>
              </w:rPr>
            </w:pPr>
            <w:r>
              <w:rPr>
                <w:b w:val="0"/>
                <w:sz w:val="20"/>
              </w:rPr>
              <w:t>23.5</w:t>
            </w:r>
          </w:p>
        </w:tc>
        <w:tc>
          <w:tcPr>
            <w:vAlign w:val="center"/>
          </w:tcPr>
          <w:p w:rsidR="001A6775">
            <w:pPr>
              <w:bidi w:val="0"/>
              <w:spacing w:after="0" w:afterAutospacing="1"/>
              <w:jc w:val="right"/>
              <w:rPr>
                <w:b w:val="0"/>
                <w:sz w:val="20"/>
              </w:rPr>
            </w:pPr>
            <w:r>
              <w:rPr>
                <w:b w:val="0"/>
                <w:sz w:val="20"/>
              </w:rPr>
              <w:t>23.5</w:t>
            </w:r>
          </w:p>
        </w:tc>
        <w:tc>
          <w:tcPr>
            <w:vAlign w:val="center"/>
          </w:tcPr>
          <w:p w:rsidR="001A6775">
            <w:pPr>
              <w:bidi w:val="0"/>
              <w:spacing w:after="0" w:afterAutospacing="1"/>
              <w:jc w:val="right"/>
              <w:rPr>
                <w:b w:val="0"/>
                <w:sz w:val="20"/>
              </w:rPr>
            </w:pPr>
            <w:r>
              <w:rPr>
                <w:b w:val="0"/>
                <w:sz w:val="20"/>
              </w:rPr>
              <w:t>426</w:t>
            </w:r>
          </w:p>
        </w:tc>
        <w:tc>
          <w:tcPr>
            <w:vAlign w:val="center"/>
          </w:tcPr>
          <w:p w:rsidR="001A6775">
            <w:pPr>
              <w:bidi w:val="0"/>
              <w:spacing w:after="0" w:afterAutospacing="1"/>
              <w:jc w:val="right"/>
              <w:rPr>
                <w:b w:val="0"/>
                <w:sz w:val="20"/>
              </w:rPr>
            </w:pPr>
            <w:r>
              <w:rPr>
                <w:b w:val="0"/>
                <w:sz w:val="20"/>
              </w:rPr>
              <w:t>22.1</w:t>
            </w:r>
          </w:p>
        </w:tc>
        <w:tc>
          <w:tcPr>
            <w:vAlign w:val="center"/>
          </w:tcPr>
          <w:p w:rsidR="001A6775">
            <w:pPr>
              <w:bidi w:val="0"/>
              <w:spacing w:after="0" w:afterAutospacing="1"/>
              <w:jc w:val="right"/>
              <w:rPr>
                <w:b w:val="0"/>
                <w:sz w:val="20"/>
              </w:rPr>
            </w:pPr>
            <w:r>
              <w:rPr>
                <w:b w:val="0"/>
                <w:sz w:val="20"/>
              </w:rPr>
              <w:t>21.9</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279</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15.6</w:t>
            </w:r>
          </w:p>
        </w:tc>
        <w:tc>
          <w:tcPr>
            <w:vAlign w:val="center"/>
          </w:tcPr>
          <w:p w:rsidR="001A6775">
            <w:pPr>
              <w:bidi w:val="0"/>
              <w:spacing w:after="0" w:afterAutospacing="1"/>
              <w:jc w:val="right"/>
              <w:rPr>
                <w:b w:val="0"/>
                <w:sz w:val="20"/>
              </w:rPr>
            </w:pPr>
            <w:r>
              <w:rPr>
                <w:b w:val="0"/>
                <w:sz w:val="20"/>
              </w:rPr>
              <w:t>302</w:t>
            </w:r>
          </w:p>
        </w:tc>
        <w:tc>
          <w:tcPr>
            <w:vAlign w:val="center"/>
          </w:tcPr>
          <w:p w:rsidR="001A6775">
            <w:pPr>
              <w:bidi w:val="0"/>
              <w:spacing w:after="0" w:afterAutospacing="1"/>
              <w:jc w:val="right"/>
              <w:rPr>
                <w:b w:val="0"/>
                <w:sz w:val="20"/>
              </w:rPr>
            </w:pPr>
            <w:r>
              <w:rPr>
                <w:b w:val="0"/>
                <w:sz w:val="20"/>
              </w:rPr>
              <w:t>15.7</w:t>
            </w:r>
          </w:p>
        </w:tc>
        <w:tc>
          <w:tcPr>
            <w:vAlign w:val="center"/>
          </w:tcPr>
          <w:p w:rsidR="001A6775">
            <w:pPr>
              <w:bidi w:val="0"/>
              <w:spacing w:after="0" w:afterAutospacing="1"/>
              <w:jc w:val="right"/>
              <w:rPr>
                <w:b w:val="0"/>
                <w:sz w:val="20"/>
              </w:rPr>
            </w:pPr>
            <w:r>
              <w:rPr>
                <w:b w:val="0"/>
                <w:sz w:val="20"/>
              </w:rPr>
              <w:t>16.4</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203</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187</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15.3</w:t>
            </w:r>
          </w:p>
        </w:tc>
        <w:tc>
          <w:tcPr>
            <w:vAlign w:val="center"/>
          </w:tcPr>
          <w:p w:rsidR="001A6775">
            <w:pPr>
              <w:bidi w:val="0"/>
              <w:spacing w:after="0" w:afterAutospacing="1"/>
              <w:jc w:val="right"/>
              <w:rPr>
                <w:b w:val="0"/>
                <w:sz w:val="20"/>
              </w:rPr>
            </w:pPr>
            <w:r>
              <w:rPr>
                <w:b w:val="0"/>
                <w:sz w:val="20"/>
              </w:rPr>
              <w:t>15.2</w:t>
            </w:r>
          </w:p>
        </w:tc>
        <w:tc>
          <w:tcPr>
            <w:vAlign w:val="center"/>
          </w:tcPr>
          <w:p w:rsidR="001A6775">
            <w:pPr>
              <w:bidi w:val="0"/>
              <w:spacing w:after="0" w:afterAutospacing="1"/>
              <w:jc w:val="right"/>
              <w:rPr>
                <w:b w:val="0"/>
                <w:sz w:val="20"/>
              </w:rPr>
            </w:pPr>
            <w:r>
              <w:rPr>
                <w:b w:val="0"/>
                <w:sz w:val="20"/>
              </w:rPr>
              <w:t>321</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171</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144</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152</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1,768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1,924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-156</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Warwick in 2016 shows the three most popular occupations were:</w:t>
      </w:r>
    </w:p>
    <w:p>
      <w:pPr>
        <w:numPr>
          <w:ilvl w:val="0"/>
          <w:numId w:val="1"/>
        </w:numPr>
        <w:bidi w:val="0"/>
        <w:spacing w:after="0" w:afterAutospacing="0"/>
        <w:rPr>
          <w:rtl w:val="0"/>
        </w:rPr>
      </w:pPr>
      <w:r>
        <w:rPr>
          <w:rtl w:val="0"/>
        </w:rPr>
        <w:t>Professionals (416 people or 23.5%)</w:t>
      </w:r>
    </w:p>
    <w:p>
      <w:pPr>
        <w:numPr>
          <w:ilvl w:val="0"/>
          <w:numId w:val="1"/>
        </w:numPr>
        <w:bidi w:val="0"/>
        <w:spacing w:after="0" w:afterAutospacing="0"/>
        <w:ind w:left="720"/>
        <w:rPr>
          <w:rtl w:val="0"/>
        </w:rPr>
      </w:pPr>
      <w:r>
        <w:rPr>
          <w:rtl w:val="0"/>
        </w:rPr>
        <w:t>Technicians and Trades Workers (279 people or 15.8%)</w:t>
      </w:r>
    </w:p>
    <w:p>
      <w:pPr>
        <w:numPr>
          <w:ilvl w:val="0"/>
          <w:numId w:val="1"/>
        </w:numPr>
        <w:bidi w:val="0"/>
        <w:spacing w:after="280" w:afterAutospacing="1"/>
        <w:ind w:left="720"/>
        <w:rPr>
          <w:rtl w:val="0"/>
        </w:rPr>
      </w:pPr>
      <w:r>
        <w:rPr>
          <w:rtl w:val="0"/>
        </w:rPr>
        <w:t>Clerical and Administrative Workers (270 people or 15.3%)</w:t>
      </w:r>
    </w:p>
    <w:p>
      <w:pPr>
        <w:bidi w:val="0"/>
        <w:spacing w:after="280" w:afterAutospacing="1"/>
        <w:rPr>
          <w:rtl w:val="0"/>
        </w:rPr>
      </w:pPr>
      <w:r>
        <w:rPr>
          <w:rtl w:val="0"/>
        </w:rPr>
        <w:t>In combination these three occupations accounted for 965 people in total or 54.6% of the employed resident population.</w:t>
      </w:r>
    </w:p>
    <w:p>
      <w:pPr>
        <w:bidi w:val="0"/>
        <w:spacing w:after="280" w:afterAutospacing="1"/>
        <w:rPr>
          <w:rtl w:val="0"/>
        </w:rPr>
      </w:pPr>
      <w:r>
        <w:rPr>
          <w:rtl w:val="0"/>
        </w:rPr>
        <w:t>In comparison, City of Joondalup employed 23.5% in Professionals; 15.6% in Technicians and Trades Workers; and 15.2% in Clerical and Administrative Workers.</w:t>
      </w:r>
    </w:p>
    <w:p>
      <w:pPr>
        <w:bidi w:val="0"/>
        <w:spacing w:after="280" w:afterAutospacing="1"/>
        <w:rPr>
          <w:rtl w:val="0"/>
        </w:rPr>
      </w:pPr>
      <w:r>
        <w:rPr>
          <w:rtl w:val="0"/>
        </w:rPr>
        <w:t>The major differences between the jobs held by the population of Warwick and City of Joondalup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Labourers (8.1% compared to 6.9%)</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Managers (10.7% compared to 12.6%)</w:t>
      </w:r>
    </w:p>
    <w:p w:rsidR="001A6775">
      <w:pPr>
        <w:bidi w:val="0"/>
        <w:spacing w:after="280" w:afterAutospacing="1"/>
      </w:pPr>
      <w:r>
        <w:rPr>
          <w:rtl w:val="0"/>
        </w:rPr>
        <w:t>The number of employed people in Warwick decreased by 156 between 2011 and 2016.</w:t>
      </w:r>
    </w:p>
    <w:p>
      <w:pPr>
        <w:bidi w:val="0"/>
        <w:spacing w:after="280" w:afterAutospacing="1"/>
        <w:rPr>
          <w:rtl w:val="0"/>
        </w:rPr>
      </w:pPr>
      <w:r>
        <w:rPr>
          <w:rtl w:val="0"/>
        </w:rPr>
        <w:t>The largest change in the occupations of residents between 2011 and 2016 in Warwick was for those employed as:</w:t>
      </w:r>
    </w:p>
    <w:p>
      <w:pPr>
        <w:numPr>
          <w:ilvl w:val="0"/>
          <w:numId w:val="3"/>
        </w:numPr>
        <w:bidi w:val="0"/>
        <w:spacing w:after="280" w:afterAutospacing="1"/>
        <w:rPr>
          <w:rtl w:val="0"/>
        </w:rPr>
      </w:pPr>
      <w:r>
        <w:rPr>
          <w:rtl w:val="0"/>
        </w:rPr>
        <w:t>Clerical and Administrative Workers (-51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