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Hume City</w:t>
      </w:r>
    </w:p>
    <w:p w:rsidR="001A6775">
      <w:pPr>
        <w:pStyle w:val="Heading4"/>
        <w:bidi w:val="0"/>
        <w:spacing w:after="280" w:afterAutospacing="1"/>
      </w:pPr>
      <w:r>
        <w:rPr>
          <w:rtl w:val="0"/>
        </w:rPr>
        <w:t>Volunteer work</w:t>
      </w:r>
    </w:p>
    <w:p w:rsidR="001A6775">
      <w:pPr>
        <w:bidi w:val="0"/>
        <w:spacing w:after="280" w:afterAutospacing="1"/>
      </w:pPr>
      <w:r>
        <w:rPr>
          <w:rtl w:val="0"/>
        </w:rPr>
        <w:t xml:space="preserve">The voluntary work sector is an important part of Australia's economy. The level of volunteering can indicate the cohesiveness of the community and how readily individuals are able to contribute to that community. Factors impacting on the level of volunteering in Bulla - Rural include the </w:t>
      </w:r>
      <w:r>
        <w:rPr>
          <w:rtl w:val="0"/>
        </w:rPr>
        <w:fldChar w:fldCharType="begin"/>
      </w:r>
      <w:r>
        <w:rPr>
          <w:rtl w:val="0"/>
        </w:rPr>
        <w:instrText xml:space="preserve"> HYPERLINK "five-year-age-groups?[QS]" </w:instrText>
      </w:r>
      <w:r>
        <w:rPr>
          <w:rtl w:val="0"/>
        </w:rPr>
        <w:fldChar w:fldCharType="separate"/>
      </w:r>
      <w:r>
        <w:rPr>
          <w:color w:val="0000FF"/>
          <w:u w:val="single"/>
          <w:rtl w:val="0"/>
        </w:rPr>
        <w:t>Age Structure</w:t>
      </w:r>
      <w:r>
        <w:rPr>
          <w:rtl w:val="0"/>
        </w:rPr>
        <w:fldChar w:fldCharType="end"/>
      </w:r>
      <w:r>
        <w:rPr>
          <w:rtl w:val="0"/>
        </w:rPr>
        <w:t xml:space="preserve"> of the population, the level of </w:t>
      </w:r>
      <w:r>
        <w:rPr>
          <w:rtl w:val="0"/>
        </w:rPr>
        <w:fldChar w:fldCharType="begin"/>
      </w:r>
      <w:r>
        <w:rPr>
          <w:rtl w:val="0"/>
        </w:rPr>
        <w:instrText xml:space="preserve"> HYPERLINK "speaks-english?[QS]" </w:instrText>
      </w:r>
      <w:r>
        <w:rPr>
          <w:rtl w:val="0"/>
        </w:rPr>
        <w:fldChar w:fldCharType="separate"/>
      </w:r>
      <w:r>
        <w:rPr>
          <w:color w:val="0000FF"/>
          <w:u w:val="single"/>
          <w:rtl w:val="0"/>
        </w:rPr>
        <w:t>Proficiency in English</w:t>
      </w:r>
      <w:r>
        <w:rPr>
          <w:rtl w:val="0"/>
        </w:rPr>
        <w:fldChar w:fldCharType="end"/>
      </w:r>
      <w:r>
        <w:rPr>
          <w:rtl w:val="0"/>
        </w:rPr>
        <w:t xml:space="preserve">, </w:t>
      </w:r>
      <w:r>
        <w:rPr>
          <w:rtl w:val="0"/>
        </w:rPr>
        <w:fldChar w:fldCharType="begin"/>
      </w:r>
      <w:r>
        <w:rPr>
          <w:rtl w:val="0"/>
        </w:rPr>
        <w:instrText xml:space="preserve"> HYPERLINK "individual-income?[QS]" </w:instrText>
      </w:r>
      <w:r>
        <w:rPr>
          <w:rtl w:val="0"/>
        </w:rPr>
        <w:fldChar w:fldCharType="separate"/>
      </w:r>
      <w:r>
        <w:rPr>
          <w:color w:val="0000FF"/>
          <w:u w:val="single"/>
          <w:rtl w:val="0"/>
        </w:rPr>
        <w:t>Income</w:t>
      </w:r>
      <w:r>
        <w:rPr>
          <w:rtl w:val="0"/>
        </w:rPr>
        <w:fldChar w:fldCharType="end"/>
      </w:r>
      <w:r>
        <w:rPr>
          <w:rtl w:val="0"/>
        </w:rPr>
        <w:t xml:space="preserve"> and </w:t>
      </w:r>
      <w:r>
        <w:rPr>
          <w:rtl w:val="0"/>
        </w:rPr>
        <w:fldChar w:fldCharType="begin"/>
      </w:r>
      <w:r>
        <w:rPr>
          <w:rtl w:val="0"/>
        </w:rPr>
        <w:instrText xml:space="preserve"> HYPERLINK "qualifications?[QS]" </w:instrText>
      </w:r>
      <w:r>
        <w:rPr>
          <w:rtl w:val="0"/>
        </w:rPr>
        <w:fldChar w:fldCharType="separate"/>
      </w:r>
      <w:r>
        <w:rPr>
          <w:color w:val="0000FF"/>
          <w:u w:val="single"/>
          <w:rtl w:val="0"/>
        </w:rPr>
        <w:t>Education</w:t>
      </w:r>
      <w:r>
        <w:rPr>
          <w:rtl w:val="0"/>
        </w:rPr>
        <w:fldChar w:fldCharType="end"/>
      </w:r>
      <w:r>
        <w:rPr>
          <w:rtl w:val="0"/>
        </w:rPr>
        <w:t xml:space="preserve"> levels.</w:t>
      </w:r>
    </w:p>
    <w:p>
      <w:pPr>
        <w:bidi w:val="0"/>
        <w:spacing w:after="280" w:afterAutospacing="1"/>
      </w:pPr>
      <w:r>
        <w:rPr>
          <w:rtl w:val="0"/>
        </w:rPr>
        <w:t>Volunteer numbers for the 2021 Census declined in many parts of Australia due to lockdowns and COVID-19 distancing measures.</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 xml:space="preserve">Volunteer work </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Bulla - Rural - Persons aged 15+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Volunteer status</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Hume City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Hume City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Volunteer</w:t>
            </w:r>
          </w:p>
        </w:tc>
        <w:tc>
          <w:tcPr>
            <w:vAlign w:val="center"/>
          </w:tcPr>
          <w:p w:rsidR="001A6775">
            <w:pPr>
              <w:bidi w:val="0"/>
              <w:spacing w:after="0" w:afterAutospacing="1"/>
              <w:jc w:val="right"/>
              <w:rPr>
                <w:b w:val="0"/>
                <w:sz w:val="20"/>
              </w:rPr>
            </w:pPr>
            <w:r>
              <w:rPr>
                <w:b w:val="0"/>
                <w:sz w:val="20"/>
              </w:rPr>
              <w:t>126</w:t>
            </w:r>
          </w:p>
        </w:tc>
        <w:tc>
          <w:tcPr>
            <w:vAlign w:val="center"/>
          </w:tcPr>
          <w:p w:rsidR="001A6775">
            <w:pPr>
              <w:bidi w:val="0"/>
              <w:spacing w:after="0" w:afterAutospacing="1"/>
              <w:jc w:val="right"/>
              <w:rPr>
                <w:b w:val="0"/>
                <w:sz w:val="20"/>
              </w:rPr>
            </w:pPr>
            <w:r>
              <w:rPr>
                <w:b w:val="0"/>
                <w:sz w:val="20"/>
              </w:rPr>
              <w:t>9.9</w:t>
            </w:r>
          </w:p>
        </w:tc>
        <w:tc>
          <w:tcPr>
            <w:vAlign w:val="center"/>
          </w:tcPr>
          <w:p w:rsidR="001A6775">
            <w:pPr>
              <w:bidi w:val="0"/>
              <w:spacing w:after="0" w:afterAutospacing="1"/>
              <w:jc w:val="right"/>
              <w:rPr>
                <w:b w:val="0"/>
                <w:sz w:val="20"/>
              </w:rPr>
            </w:pPr>
            <w:r>
              <w:rPr>
                <w:b w:val="0"/>
                <w:sz w:val="20"/>
              </w:rPr>
              <w:t>7.3</w:t>
            </w:r>
          </w:p>
        </w:tc>
        <w:tc>
          <w:tcPr>
            <w:vAlign w:val="center"/>
          </w:tcPr>
          <w:p w:rsidR="001A6775">
            <w:pPr>
              <w:bidi w:val="0"/>
              <w:spacing w:after="0" w:afterAutospacing="1"/>
              <w:jc w:val="right"/>
              <w:rPr>
                <w:b w:val="0"/>
                <w:sz w:val="20"/>
              </w:rPr>
            </w:pPr>
            <w:r>
              <w:rPr>
                <w:b w:val="0"/>
                <w:sz w:val="20"/>
              </w:rPr>
              <w:t>173</w:t>
            </w:r>
          </w:p>
        </w:tc>
        <w:tc>
          <w:tcPr>
            <w:vAlign w:val="center"/>
          </w:tcPr>
          <w:p w:rsidR="001A6775">
            <w:pPr>
              <w:bidi w:val="0"/>
              <w:spacing w:after="0" w:afterAutospacing="1"/>
              <w:jc w:val="right"/>
              <w:rPr>
                <w:b w:val="0"/>
                <w:sz w:val="20"/>
              </w:rPr>
            </w:pPr>
            <w:r>
              <w:rPr>
                <w:b w:val="0"/>
                <w:sz w:val="20"/>
              </w:rPr>
              <w:t>14.2</w:t>
            </w:r>
          </w:p>
        </w:tc>
        <w:tc>
          <w:tcPr>
            <w:vAlign w:val="center"/>
          </w:tcPr>
          <w:p w:rsidR="001A6775">
            <w:pPr>
              <w:bidi w:val="0"/>
              <w:spacing w:after="0" w:afterAutospacing="1"/>
              <w:jc w:val="right"/>
              <w:rPr>
                <w:b w:val="0"/>
                <w:sz w:val="20"/>
              </w:rPr>
            </w:pPr>
            <w:r>
              <w:rPr>
                <w:b w:val="0"/>
                <w:sz w:val="20"/>
              </w:rPr>
              <w:t>11.8</w:t>
            </w:r>
          </w:p>
        </w:tc>
        <w:tc>
          <w:tcPr>
            <w:vAlign w:val="center"/>
          </w:tcPr>
          <w:p w:rsidR="001A6775">
            <w:pPr>
              <w:bidi w:val="0"/>
              <w:spacing w:after="0" w:afterAutospacing="1"/>
              <w:jc w:val="right"/>
              <w:rPr>
                <w:b w:val="0"/>
                <w:sz w:val="20"/>
              </w:rPr>
            </w:pPr>
            <w:r>
              <w:rPr>
                <w:b w:val="0"/>
                <w:sz w:val="20"/>
              </w:rPr>
              <w:t>-47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a volunteer</w:t>
            </w:r>
          </w:p>
        </w:tc>
        <w:tc>
          <w:tcPr>
            <w:vAlign w:val="center"/>
          </w:tcPr>
          <w:p w:rsidR="001A6775">
            <w:pPr>
              <w:bidi w:val="0"/>
              <w:spacing w:after="0" w:afterAutospacing="1"/>
              <w:jc w:val="right"/>
              <w:rPr>
                <w:b w:val="0"/>
                <w:sz w:val="20"/>
              </w:rPr>
            </w:pPr>
            <w:r>
              <w:rPr>
                <w:b w:val="0"/>
                <w:sz w:val="20"/>
              </w:rPr>
              <w:t>1,006</w:t>
            </w:r>
          </w:p>
        </w:tc>
        <w:tc>
          <w:tcPr>
            <w:vAlign w:val="center"/>
          </w:tcPr>
          <w:p w:rsidR="001A6775">
            <w:pPr>
              <w:bidi w:val="0"/>
              <w:spacing w:after="0" w:afterAutospacing="1"/>
              <w:jc w:val="right"/>
              <w:rPr>
                <w:b w:val="0"/>
                <w:sz w:val="20"/>
              </w:rPr>
            </w:pPr>
            <w:r>
              <w:rPr>
                <w:b w:val="0"/>
                <w:sz w:val="20"/>
              </w:rPr>
              <w:t>78.9</w:t>
            </w:r>
          </w:p>
        </w:tc>
        <w:tc>
          <w:tcPr>
            <w:vAlign w:val="center"/>
          </w:tcPr>
          <w:p w:rsidR="001A6775">
            <w:pPr>
              <w:bidi w:val="0"/>
              <w:spacing w:after="0" w:afterAutospacing="1"/>
              <w:jc w:val="right"/>
              <w:rPr>
                <w:b w:val="0"/>
                <w:sz w:val="20"/>
              </w:rPr>
            </w:pPr>
            <w:r>
              <w:rPr>
                <w:b w:val="0"/>
                <w:sz w:val="20"/>
              </w:rPr>
              <w:t>86.6</w:t>
            </w:r>
          </w:p>
        </w:tc>
        <w:tc>
          <w:tcPr>
            <w:vAlign w:val="center"/>
          </w:tcPr>
          <w:p w:rsidR="001A6775">
            <w:pPr>
              <w:bidi w:val="0"/>
              <w:spacing w:after="0" w:afterAutospacing="1"/>
              <w:jc w:val="right"/>
              <w:rPr>
                <w:b w:val="0"/>
                <w:sz w:val="20"/>
              </w:rPr>
            </w:pPr>
            <w:r>
              <w:rPr>
                <w:b w:val="0"/>
                <w:sz w:val="20"/>
              </w:rPr>
              <w:t>872</w:t>
            </w:r>
          </w:p>
        </w:tc>
        <w:tc>
          <w:tcPr>
            <w:vAlign w:val="center"/>
          </w:tcPr>
          <w:p w:rsidR="001A6775">
            <w:pPr>
              <w:bidi w:val="0"/>
              <w:spacing w:after="0" w:afterAutospacing="1"/>
              <w:jc w:val="right"/>
              <w:rPr>
                <w:b w:val="0"/>
                <w:sz w:val="20"/>
              </w:rPr>
            </w:pPr>
            <w:r>
              <w:rPr>
                <w:b w:val="0"/>
                <w:sz w:val="20"/>
              </w:rPr>
              <w:t>71.4</w:t>
            </w:r>
          </w:p>
        </w:tc>
        <w:tc>
          <w:tcPr>
            <w:vAlign w:val="center"/>
          </w:tcPr>
          <w:p w:rsidR="001A6775">
            <w:pPr>
              <w:bidi w:val="0"/>
              <w:spacing w:after="0" w:afterAutospacing="1"/>
              <w:jc w:val="right"/>
              <w:rPr>
                <w:b w:val="0"/>
                <w:sz w:val="20"/>
              </w:rPr>
            </w:pPr>
            <w:r>
              <w:rPr>
                <w:b w:val="0"/>
                <w:sz w:val="20"/>
              </w:rPr>
              <w:t>80.8</w:t>
            </w:r>
          </w:p>
        </w:tc>
        <w:tc>
          <w:tcPr>
            <w:vAlign w:val="center"/>
          </w:tcPr>
          <w:p w:rsidR="001A6775">
            <w:pPr>
              <w:bidi w:val="0"/>
              <w:spacing w:after="0" w:afterAutospacing="1"/>
              <w:jc w:val="right"/>
              <w:rPr>
                <w:b w:val="0"/>
                <w:sz w:val="20"/>
              </w:rPr>
            </w:pPr>
            <w:r>
              <w:rPr>
                <w:b w:val="0"/>
                <w:sz w:val="20"/>
              </w:rPr>
              <w:t>+134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Volunteer work not stated</w:t>
            </w:r>
          </w:p>
        </w:tc>
        <w:tc>
          <w:tcPr>
            <w:vAlign w:val="center"/>
          </w:tcPr>
          <w:p w:rsidR="001A6775">
            <w:pPr>
              <w:bidi w:val="0"/>
              <w:spacing w:after="0" w:afterAutospacing="1"/>
              <w:jc w:val="right"/>
              <w:rPr>
                <w:b w:val="0"/>
                <w:sz w:val="20"/>
              </w:rPr>
            </w:pPr>
            <w:r>
              <w:rPr>
                <w:b w:val="0"/>
                <w:sz w:val="20"/>
              </w:rPr>
              <w:t>144</w:t>
            </w:r>
          </w:p>
        </w:tc>
        <w:tc>
          <w:tcPr>
            <w:vAlign w:val="center"/>
          </w:tcPr>
          <w:p w:rsidR="001A6775">
            <w:pPr>
              <w:bidi w:val="0"/>
              <w:spacing w:after="0" w:afterAutospacing="1"/>
              <w:jc w:val="right"/>
              <w:rPr>
                <w:b w:val="0"/>
                <w:sz w:val="20"/>
              </w:rPr>
            </w:pPr>
            <w:r>
              <w:rPr>
                <w:b w:val="0"/>
                <w:sz w:val="20"/>
              </w:rPr>
              <w:t>11.3</w:t>
            </w:r>
          </w:p>
        </w:tc>
        <w:tc>
          <w:tcPr>
            <w:vAlign w:val="center"/>
          </w:tcPr>
          <w:p w:rsidR="001A6775">
            <w:pPr>
              <w:bidi w:val="0"/>
              <w:spacing w:after="0" w:afterAutospacing="1"/>
              <w:jc w:val="right"/>
              <w:rPr>
                <w:b w:val="0"/>
                <w:sz w:val="20"/>
              </w:rPr>
            </w:pPr>
            <w:r>
              <w:rPr>
                <w:b w:val="0"/>
                <w:sz w:val="20"/>
              </w:rPr>
              <w:t>6.1</w:t>
            </w:r>
          </w:p>
        </w:tc>
        <w:tc>
          <w:tcPr>
            <w:vAlign w:val="center"/>
          </w:tcPr>
          <w:p w:rsidR="001A6775">
            <w:pPr>
              <w:bidi w:val="0"/>
              <w:spacing w:after="0" w:afterAutospacing="1"/>
              <w:jc w:val="right"/>
              <w:rPr>
                <w:b w:val="0"/>
                <w:sz w:val="20"/>
              </w:rPr>
            </w:pPr>
            <w:r>
              <w:rPr>
                <w:b w:val="0"/>
                <w:sz w:val="20"/>
              </w:rPr>
              <w:t>177</w:t>
            </w:r>
          </w:p>
        </w:tc>
        <w:tc>
          <w:tcPr>
            <w:vAlign w:val="center"/>
          </w:tcPr>
          <w:p w:rsidR="001A6775">
            <w:pPr>
              <w:bidi w:val="0"/>
              <w:spacing w:after="0" w:afterAutospacing="1"/>
              <w:jc w:val="right"/>
              <w:rPr>
                <w:b w:val="0"/>
                <w:sz w:val="20"/>
              </w:rPr>
            </w:pPr>
            <w:r>
              <w:rPr>
                <w:b w:val="0"/>
                <w:sz w:val="20"/>
              </w:rPr>
              <w:t>14.5</w:t>
            </w:r>
          </w:p>
        </w:tc>
        <w:tc>
          <w:tcPr>
            <w:vAlign w:val="center"/>
          </w:tcPr>
          <w:p w:rsidR="001A6775">
            <w:pPr>
              <w:bidi w:val="0"/>
              <w:spacing w:after="0" w:afterAutospacing="1"/>
              <w:jc w:val="right"/>
              <w:rPr>
                <w:b w:val="0"/>
                <w:sz w:val="20"/>
              </w:rPr>
            </w:pPr>
            <w:r>
              <w:rPr>
                <w:b w:val="0"/>
                <w:sz w:val="20"/>
              </w:rPr>
              <w:t>7.4</w:t>
            </w:r>
          </w:p>
        </w:tc>
        <w:tc>
          <w:tcPr>
            <w:vAlign w:val="center"/>
          </w:tcPr>
          <w:p w:rsidR="001A6775">
            <w:pPr>
              <w:bidi w:val="0"/>
              <w:spacing w:after="0" w:afterAutospacing="1"/>
              <w:jc w:val="right"/>
              <w:rPr>
                <w:b w:val="0"/>
                <w:sz w:val="20"/>
              </w:rPr>
            </w:pPr>
            <w:r>
              <w:rPr>
                <w:b w:val="0"/>
                <w:sz w:val="20"/>
              </w:rPr>
              <w:t>-33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persons aged 15+</w:t>
            </w:r>
          </w:p>
        </w:tc>
        <w:tc>
          <w:tcPr>
            <w:vAlign w:val="center"/>
          </w:tcPr>
          <w:p w:rsidR="001A6775">
            <w:pPr>
              <w:bidi w:val="0"/>
              <w:spacing w:after="0" w:afterAutospacing="1"/>
              <w:jc w:val="right"/>
              <w:rPr>
                <w:b/>
                <w:sz w:val="20"/>
              </w:rPr>
            </w:pPr>
            <w:r>
              <w:rPr>
                <w:b/>
                <w:sz w:val="20"/>
              </w:rPr>
              <w:t>1,276</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1,222</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+54</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voluntary work performed by the population in Bulla - Rural in 2021 compared to Hume City shows that there was a higher proportion of people who volunteered for an organisation or group.</w:t>
      </w:r>
    </w:p>
    <w:p>
      <w:pPr>
        <w:bidi w:val="0"/>
        <w:spacing w:after="280" w:afterAutospacing="1"/>
        <w:rPr>
          <w:rtl w:val="0"/>
        </w:rPr>
      </w:pPr>
      <w:r>
        <w:rPr>
          <w:rtl w:val="0"/>
        </w:rPr>
        <w:t>Overall, 9.9% of the population reported performing voluntary work, compared with 7.3% for Hume City.</w:t>
      </w:r>
    </w:p>
    <w:p w:rsidR="001A6775">
      <w:pPr>
        <w:bidi w:val="0"/>
        <w:spacing w:after="280" w:afterAutospacing="1"/>
      </w:pPr>
      <w:r>
        <w:rPr>
          <w:rtl w:val="0"/>
        </w:rPr>
        <w:t>The number of volunteers in Bulla - Rural decreased by 47 people between 2016 and 2021.</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