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Hume City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Hume City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