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Hornsby Shire Council</w:t>
      </w:r>
    </w:p>
    <w:p w:rsidR="001A6775">
      <w:pPr>
        <w:pStyle w:val="Heading4"/>
        <w:bidi w:val="0"/>
        <w:spacing w:after="280" w:afterAutospacing="1"/>
      </w:pPr>
      <w:r>
        <w:rPr>
          <w:rtl w:val="0"/>
        </w:rPr>
        <w:t>Household type</w:t>
      </w:r>
    </w:p>
    <w:p w:rsidR="001A6775">
      <w:pPr>
        <w:bidi w:val="0"/>
        <w:spacing w:after="280" w:afterAutospacing="1"/>
      </w:pPr>
      <w:r>
        <w:rPr>
          <w:rtl w:val="0"/>
        </w:rPr>
        <w:t>Beecroft - Cheltenham's household and family structure is one of the most important demographic indicators. It reveals the area's residential role and function, era of settlement and provides key insights into the level of demand for services and facilities as most are related to age and household types.</w:t>
      </w:r>
    </w:p>
    <w:p>
      <w:pPr>
        <w:bidi w:val="0"/>
        <w:spacing w:after="280" w:afterAutospacing="1"/>
      </w:pPr>
      <w:r>
        <w:rPr>
          <w:rtl w:val="0"/>
        </w:rPr>
        <w:t xml:space="preserve">To continue building the story, Beecroft - Cheltenham's Household Summary should be viewed in conjunction with </w:t>
      </w:r>
      <w:r>
        <w:rPr>
          <w:rtl w:val="0"/>
        </w:rPr>
        <w:fldChar w:fldCharType="begin"/>
      </w:r>
      <w:r>
        <w:rPr>
          <w:rtl w:val="0"/>
        </w:rPr>
        <w:instrText xml:space="preserve"> HYPERLINK "households-with-children?[QS]" </w:instrText>
      </w:r>
      <w:r>
        <w:rPr>
          <w:rtl w:val="0"/>
        </w:rPr>
        <w:fldChar w:fldCharType="separate"/>
      </w:r>
      <w:r>
        <w:rPr>
          <w:color w:val="0000FF"/>
          <w:u w:val="single"/>
          <w:rtl w:val="0"/>
        </w:rPr>
        <w:t>Households with Children</w:t>
      </w:r>
      <w:r>
        <w:rPr>
          <w:rtl w:val="0"/>
        </w:rPr>
        <w:fldChar w:fldCharType="end"/>
      </w:r>
      <w:r>
        <w:rPr>
          <w:rtl w:val="0"/>
        </w:rPr>
        <w:t xml:space="preserve">, </w:t>
      </w:r>
      <w:r>
        <w:rPr>
          <w:rtl w:val="0"/>
        </w:rPr>
        <w:fldChar w:fldCharType="begin"/>
      </w:r>
      <w:r>
        <w:rPr>
          <w:rtl w:val="0"/>
        </w:rPr>
        <w:instrText xml:space="preserve"> HYPERLINK "households-without-children?[QS]" </w:instrText>
      </w:r>
      <w:r>
        <w:rPr>
          <w:rtl w:val="0"/>
        </w:rPr>
        <w:fldChar w:fldCharType="separate"/>
      </w:r>
      <w:r>
        <w:rPr>
          <w:color w:val="0000FF"/>
          <w:u w:val="single"/>
          <w:rtl w:val="0"/>
        </w:rPr>
        <w:t>Households without Children</w:t>
      </w:r>
      <w:r>
        <w:rPr>
          <w:rtl w:val="0"/>
        </w:rPr>
        <w:fldChar w:fldCharType="end"/>
      </w:r>
      <w:r>
        <w:rPr>
          <w:rtl w:val="0"/>
        </w:rPr>
        <w:t xml:space="preserve">, </w:t>
      </w:r>
      <w:r>
        <w:rPr>
          <w:rtl w:val="0"/>
        </w:rPr>
        <w:fldChar w:fldCharType="begin"/>
      </w:r>
      <w:r>
        <w:rPr>
          <w:rtl w:val="0"/>
        </w:rPr>
        <w:instrText xml:space="preserve"> HYPERLINK "household-size?[QS]" </w:instrText>
      </w:r>
      <w:r>
        <w:rPr>
          <w:rtl w:val="0"/>
        </w:rPr>
        <w:fldChar w:fldCharType="separate"/>
      </w:r>
      <w:r>
        <w:rPr>
          <w:color w:val="0000FF"/>
          <w:u w:val="single"/>
          <w:rtl w:val="0"/>
        </w:rPr>
        <w:t>Household Size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p>
    <w:p>
      <w:pPr>
        <w:bidi w:val="0"/>
        <w:spacing w:after="280" w:afterAutospacing="1"/>
      </w:pPr>
      <w:r>
        <w:rPr>
          <w:rtl w:val="0"/>
        </w:rPr>
        <w:t xml:space="preserve">If you're looking at this data to prepare a housing strategy, </w:t>
      </w:r>
      <w:r>
        <w:rPr>
          <w:rtl w:val="0"/>
        </w:rPr>
        <w:fldChar w:fldCharType="begin"/>
      </w:r>
      <w:r>
        <w:rPr>
          <w:rtl w:val="0"/>
        </w:rPr>
        <w:instrText xml:space="preserve"> HYPERLINK "https://blog.id.com.au/2018/housing-analysis/how-to-build-an-evidence-base-for-your-housing-strategy/" \t "_blank" </w:instrText>
      </w:r>
      <w:r>
        <w:rPr>
          <w:rtl w:val="0"/>
        </w:rPr>
        <w:fldChar w:fldCharType="separate"/>
      </w:r>
      <w:r>
        <w:rPr>
          <w:color w:val="0000FF"/>
          <w:u w:val="single"/>
          <w:rtl w:val="0"/>
        </w:rPr>
        <w:t>learn more here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type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Beecroft - Cheltenham - Total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Households by type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Hornsby Shire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Hornsby Shire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 children</w:t>
            </w:r>
          </w:p>
        </w:tc>
        <w:tc>
          <w:tcPr>
            <w:vAlign w:val="center"/>
          </w:tcPr>
          <w:p w:rsidR="001A6775">
            <w:pPr>
              <w:bidi w:val="0"/>
              <w:spacing w:after="0" w:afterAutospacing="1"/>
              <w:jc w:val="right"/>
              <w:rPr>
                <w:b w:val="0"/>
                <w:sz w:val="20"/>
              </w:rPr>
            </w:pPr>
            <w:r>
              <w:rPr>
                <w:b w:val="0"/>
                <w:sz w:val="20"/>
              </w:rPr>
              <w:t>1,576</w:t>
            </w:r>
          </w:p>
        </w:tc>
        <w:tc>
          <w:tcPr>
            <w:vAlign w:val="center"/>
          </w:tcPr>
          <w:p w:rsidR="001A6775">
            <w:pPr>
              <w:bidi w:val="0"/>
              <w:spacing w:after="0" w:afterAutospacing="1"/>
              <w:jc w:val="right"/>
              <w:rPr>
                <w:b w:val="0"/>
                <w:sz w:val="20"/>
              </w:rPr>
            </w:pPr>
            <w:r>
              <w:rPr>
                <w:b w:val="0"/>
                <w:sz w:val="20"/>
              </w:rPr>
              <w:t>48.2</w:t>
            </w:r>
          </w:p>
        </w:tc>
        <w:tc>
          <w:tcPr>
            <w:vAlign w:val="center"/>
          </w:tcPr>
          <w:p w:rsidR="001A6775">
            <w:pPr>
              <w:bidi w:val="0"/>
              <w:spacing w:after="0" w:afterAutospacing="1"/>
              <w:jc w:val="right"/>
              <w:rPr>
                <w:b w:val="0"/>
                <w:sz w:val="20"/>
              </w:rPr>
            </w:pPr>
            <w:r>
              <w:rPr>
                <w:b w:val="0"/>
                <w:sz w:val="20"/>
              </w:rPr>
              <w:t>44.0</w:t>
            </w:r>
          </w:p>
        </w:tc>
        <w:tc>
          <w:tcPr>
            <w:vAlign w:val="center"/>
          </w:tcPr>
          <w:p w:rsidR="001A6775">
            <w:pPr>
              <w:bidi w:val="0"/>
              <w:spacing w:after="0" w:afterAutospacing="1"/>
              <w:jc w:val="right"/>
              <w:rPr>
                <w:b w:val="0"/>
                <w:sz w:val="20"/>
              </w:rPr>
            </w:pPr>
            <w:r>
              <w:rPr>
                <w:b w:val="0"/>
                <w:sz w:val="20"/>
              </w:rPr>
              <w:t>1,419</w:t>
            </w:r>
          </w:p>
        </w:tc>
        <w:tc>
          <w:tcPr>
            <w:vAlign w:val="center"/>
          </w:tcPr>
          <w:p w:rsidR="001A6775">
            <w:pPr>
              <w:bidi w:val="0"/>
              <w:spacing w:after="0" w:afterAutospacing="1"/>
              <w:jc w:val="right"/>
              <w:rPr>
                <w:b w:val="0"/>
                <w:sz w:val="20"/>
              </w:rPr>
            </w:pPr>
            <w:r>
              <w:rPr>
                <w:b w:val="0"/>
                <w:sz w:val="20"/>
              </w:rPr>
              <w:t>52.1</w:t>
            </w:r>
          </w:p>
        </w:tc>
        <w:tc>
          <w:tcPr>
            <w:vAlign w:val="center"/>
          </w:tcPr>
          <w:p w:rsidR="001A6775">
            <w:pPr>
              <w:bidi w:val="0"/>
              <w:spacing w:after="0" w:afterAutospacing="1"/>
              <w:jc w:val="right"/>
              <w:rPr>
                <w:b w:val="0"/>
                <w:sz w:val="20"/>
              </w:rPr>
            </w:pPr>
            <w:r>
              <w:rPr>
                <w:b w:val="0"/>
                <w:sz w:val="20"/>
              </w:rPr>
              <w:t>45.4</w:t>
            </w:r>
          </w:p>
        </w:tc>
        <w:tc>
          <w:tcPr>
            <w:vAlign w:val="center"/>
          </w:tcPr>
          <w:p w:rsidR="001A6775">
            <w:pPr>
              <w:bidi w:val="0"/>
              <w:spacing w:after="0" w:afterAutospacing="1"/>
              <w:jc w:val="right"/>
              <w:rPr>
                <w:b w:val="0"/>
                <w:sz w:val="20"/>
              </w:rPr>
            </w:pPr>
            <w:r>
              <w:rPr>
                <w:b w:val="0"/>
                <w:sz w:val="20"/>
              </w:rPr>
              <w:t>+156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without children</w:t>
            </w:r>
          </w:p>
        </w:tc>
        <w:tc>
          <w:tcPr>
            <w:vAlign w:val="center"/>
          </w:tcPr>
          <w:p w:rsidR="001A6775">
            <w:pPr>
              <w:bidi w:val="0"/>
              <w:spacing w:after="0" w:afterAutospacing="1"/>
              <w:jc w:val="right"/>
              <w:rPr>
                <w:b w:val="0"/>
                <w:sz w:val="20"/>
              </w:rPr>
            </w:pPr>
            <w:r>
              <w:rPr>
                <w:b w:val="0"/>
                <w:sz w:val="20"/>
              </w:rPr>
              <w:t>879</w:t>
            </w:r>
          </w:p>
        </w:tc>
        <w:tc>
          <w:tcPr>
            <w:vAlign w:val="center"/>
          </w:tcPr>
          <w:p w:rsidR="001A6775">
            <w:pPr>
              <w:bidi w:val="0"/>
              <w:spacing w:after="0" w:afterAutospacing="1"/>
              <w:jc w:val="right"/>
              <w:rPr>
                <w:b w:val="0"/>
                <w:sz w:val="20"/>
              </w:rPr>
            </w:pPr>
            <w:r>
              <w:rPr>
                <w:b w:val="0"/>
                <w:sz w:val="20"/>
              </w:rPr>
              <w:t>26.9</w:t>
            </w:r>
          </w:p>
        </w:tc>
        <w:tc>
          <w:tcPr>
            <w:vAlign w:val="center"/>
          </w:tcPr>
          <w:p w:rsidR="001A6775">
            <w:pPr>
              <w:bidi w:val="0"/>
              <w:spacing w:after="0" w:afterAutospacing="1"/>
              <w:jc w:val="right"/>
              <w:rPr>
                <w:b w:val="0"/>
                <w:sz w:val="20"/>
              </w:rPr>
            </w:pPr>
            <w:r>
              <w:rPr>
                <w:b w:val="0"/>
                <w:sz w:val="20"/>
              </w:rPr>
              <w:t>24.2</w:t>
            </w:r>
          </w:p>
        </w:tc>
        <w:tc>
          <w:tcPr>
            <w:vAlign w:val="center"/>
          </w:tcPr>
          <w:p w:rsidR="001A6775">
            <w:pPr>
              <w:bidi w:val="0"/>
              <w:spacing w:after="0" w:afterAutospacing="1"/>
              <w:jc w:val="right"/>
              <w:rPr>
                <w:b w:val="0"/>
                <w:sz w:val="20"/>
              </w:rPr>
            </w:pPr>
            <w:r>
              <w:rPr>
                <w:b w:val="0"/>
                <w:sz w:val="20"/>
              </w:rPr>
              <w:t>696</w:t>
            </w:r>
          </w:p>
        </w:tc>
        <w:tc>
          <w:tcPr>
            <w:vAlign w:val="center"/>
          </w:tcPr>
          <w:p w:rsidR="001A6775">
            <w:pPr>
              <w:bidi w:val="0"/>
              <w:spacing w:after="0" w:afterAutospacing="1"/>
              <w:jc w:val="right"/>
              <w:rPr>
                <w:b w:val="0"/>
                <w:sz w:val="20"/>
              </w:rPr>
            </w:pPr>
            <w:r>
              <w:rPr>
                <w:b w:val="0"/>
                <w:sz w:val="20"/>
              </w:rPr>
              <w:t>25.6</w:t>
            </w:r>
          </w:p>
        </w:tc>
        <w:tc>
          <w:tcPr>
            <w:vAlign w:val="center"/>
          </w:tcPr>
          <w:p w:rsidR="001A6775">
            <w:pPr>
              <w:bidi w:val="0"/>
              <w:spacing w:after="0" w:afterAutospacing="1"/>
              <w:jc w:val="right"/>
              <w:rPr>
                <w:b w:val="0"/>
                <w:sz w:val="20"/>
              </w:rPr>
            </w:pPr>
            <w:r>
              <w:rPr>
                <w:b w:val="0"/>
                <w:sz w:val="20"/>
              </w:rPr>
              <w:t>23.1</w:t>
            </w:r>
          </w:p>
        </w:tc>
        <w:tc>
          <w:tcPr>
            <w:vAlign w:val="center"/>
          </w:tcPr>
          <w:p w:rsidR="001A6775">
            <w:pPr>
              <w:bidi w:val="0"/>
              <w:spacing w:after="0" w:afterAutospacing="1"/>
              <w:jc w:val="right"/>
              <w:rPr>
                <w:b w:val="0"/>
                <w:sz w:val="20"/>
              </w:rPr>
            </w:pPr>
            <w:r>
              <w:rPr>
                <w:b w:val="0"/>
                <w:sz w:val="20"/>
              </w:rPr>
              <w:t>+183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One parent families</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192</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families</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Group household</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Lone person</w:t>
            </w:r>
          </w:p>
        </w:tc>
        <w:tc>
          <w:tcPr>
            <w:vAlign w:val="center"/>
          </w:tcPr>
          <w:p w:rsidR="001A6775">
            <w:pPr>
              <w:bidi w:val="0"/>
              <w:spacing w:after="0" w:afterAutospacing="1"/>
              <w:jc w:val="right"/>
              <w:rPr>
                <w:b w:val="0"/>
                <w:sz w:val="20"/>
              </w:rPr>
            </w:pPr>
            <w:r>
              <w:rPr>
                <w:b w:val="0"/>
                <w:sz w:val="20"/>
              </w:rPr>
              <w:t>462</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18.1</w:t>
            </w:r>
          </w:p>
        </w:tc>
        <w:tc>
          <w:tcPr>
            <w:vAlign w:val="center"/>
          </w:tcPr>
          <w:p w:rsidR="001A6775">
            <w:pPr>
              <w:bidi w:val="0"/>
              <w:spacing w:after="0" w:afterAutospacing="1"/>
              <w:jc w:val="right"/>
              <w:rPr>
                <w:b w:val="0"/>
                <w:sz w:val="20"/>
              </w:rPr>
            </w:pPr>
            <w:r>
              <w:rPr>
                <w:b w:val="0"/>
                <w:sz w:val="20"/>
              </w:rPr>
              <w:t>325</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+137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not classifiable household</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Visitor only households</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3,272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2,723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+548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