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1.1.0.0 -->
  <w:body>
    <w:p w:rsidR="001A6775">
      <w:pPr>
        <w:pStyle w:val="Heading3"/>
        <w:bidi w:val="0"/>
        <w:spacing w:after="280" w:afterAutospacing="1"/>
      </w:pPr>
      <w:r>
        <w:rPr>
          <w:rtl w:val="0"/>
        </w:rPr>
        <w:t>Gold Coast City</w:t>
      </w:r>
    </w:p>
    <w:p w:rsidR="001A6775">
      <w:pPr>
        <w:pStyle w:val="Heading4"/>
        <w:bidi w:val="0"/>
        <w:spacing w:after="280" w:afterAutospacing="1"/>
      </w:pPr>
      <w:r>
        <w:rPr>
          <w:rtl w:val="0"/>
        </w:rPr>
        <w:t>Estimated Resident Population (ERP)</w:t>
      </w:r>
    </w:p>
    <w:p w:rsidR="001A6775">
      <w:pPr>
        <w:bidi w:val="0"/>
        <w:spacing w:after="280" w:afterAutospacing="1"/>
      </w:pPr>
      <w:r>
        <w:rPr>
          <w:rtl w:val="0"/>
        </w:rPr>
        <w:t>The Estimated Resident Population (ERP) is the Australian Bureau of Statistics' official 2023 population figure for all Local Government Areas (LGAs) - but is subject to review after the next Census release. For areas smaller than LGAs, the ERP is derived from SA1 geographies based on population distribution from the previous Census. As such, these smaller geographies are subject to a greater level of revision each Census due to the change in actual numbers and in population distributions.</w:t>
      </w:r>
    </w:p>
    <w:p>
      <w:pPr>
        <w:bidi w:val="0"/>
        <w:spacing w:after="280" w:afterAutospacing="1"/>
        <w:rPr>
          <w:rtl w:val="0"/>
        </w:rPr>
      </w:pPr>
      <w:r>
        <w:rPr>
          <w:rtl w:val="0"/>
        </w:rPr>
        <w:t>Populations are counted and estimated in various ways. The most comprehensive population count available in Australia is derived from the Census of Population and Housing conducted by the Australian Bureau of Statistics every five years. However the Census count is generally an under-estimate of the actual population, due to people missed in the Census and people overseas on Census night. To provide a more accurate population figure more frequently, the ABS also produces ERP numbers.</w:t>
      </w:r>
    </w:p>
    <w:p>
      <w:pPr>
        <w:bidi w:val="0"/>
        <w:spacing w:after="280" w:afterAutospacing="1"/>
        <w:rPr>
          <w:rtl w:val="0"/>
        </w:rPr>
      </w:pPr>
      <w:r>
        <w:rPr>
          <w:rtl w:val="0"/>
        </w:rPr>
        <w:t xml:space="preserve">See </w:t>
      </w:r>
      <w:r>
        <w:rPr>
          <w:rtl w:val="0"/>
        </w:rPr>
        <w:fldChar w:fldCharType="begin"/>
      </w:r>
      <w:r>
        <w:rPr>
          <w:rtl w:val="0"/>
        </w:rPr>
        <w:instrText xml:space="preserve"> HYPERLINK "population-types?[QS]" </w:instrText>
      </w:r>
      <w:r>
        <w:rPr>
          <w:rtl w:val="0"/>
        </w:rPr>
        <w:fldChar w:fldCharType="separate"/>
      </w:r>
      <w:r>
        <w:rPr>
          <w:color w:val="0000FF"/>
          <w:u w:val="single"/>
          <w:rtl w:val="0"/>
        </w:rPr>
        <w:t>data notes</w:t>
      </w:r>
      <w:r>
        <w:rPr>
          <w:rtl w:val="0"/>
        </w:rPr>
        <w:fldChar w:fldCharType="end"/>
      </w:r>
      <w:r>
        <w:rPr>
          <w:rtl w:val="0"/>
        </w:rPr>
        <w:t xml:space="preserve"> for a detailed explanation of different population types, how they are calculated and when to use each one.</w:t>
      </w:r>
    </w:p>
    <w:tbl>
      <w:tblPr>
        <w:tblW w:w="5000" w:type="pct"/>
        <w:jc w:val="left"/>
        <w:tblBorders>
          <w:top w:val="nil"/>
          <w:left w:val="nil"/>
          <w:bottom w:val="nil"/>
          <w:right w:val="nil"/>
          <w:insideH w:val="nil"/>
          <w:insideV w:val="nil"/>
        </w:tblBorders>
        <w:tblCellMar>
          <w:left w:w="108" w:type="dxa"/>
          <w:right w:w="108" w:type="dxa"/>
        </w:tblCellMar>
      </w:tblPr>
      <w:tblGrid>
        <w:gridCol w:w="1100"/>
        <w:gridCol w:w="1100"/>
        <w:gridCol w:w="1100"/>
        <w:gridCol w:w="1100"/>
        <w:gridCol w:w="1100"/>
        <w:gridCol w:w="1100"/>
        <w:gridCol w:w="1100"/>
        <w:gridCol w:w="1100"/>
      </w:tblGrid>
      <w:tr>
        <w:tblPrEx>
          <w:tblW w:w="5000" w:type="pct"/>
          <w:jc w:val="left"/>
          <w:tblBorders>
            <w:top w:val="nil"/>
            <w:left w:val="nil"/>
            <w:bottom w:val="nil"/>
            <w:right w:val="nil"/>
            <w:insideH w:val="nil"/>
            <w:insideV w:val="nil"/>
          </w:tblBorders>
          <w:tblCellMar>
            <w:left w:w="108" w:type="dxa"/>
            <w:right w:w="108" w:type="dxa"/>
          </w:tblCellMar>
        </w:tblPrEx>
        <w:trPr>
          <w:jc w:val="left"/>
        </w:trPr>
        <w:tc>
          <w:tcPr>
            <w:hMerge w:val="restart"/>
          </w:tcPr>
          <w:p w:rsidR="001A6775">
            <w:pPr>
              <w:bidi w:val="0"/>
              <w:spacing w:after="0" w:afterAutospacing="1"/>
              <w:jc w:val="left"/>
              <w:rPr>
                <w:b/>
                <w:sz w:val="20"/>
              </w:rPr>
            </w:pPr>
            <w:r>
              <w:rPr>
                <w:b/>
                <w:sz w:val="30"/>
              </w:rPr>
              <w:t>Estimated Resident Population (ERP)</w:t>
            </w: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p w:rsidR="001A6775">
            <w:pPr>
              <w:bidi w:val="0"/>
              <w:spacing w:after="0" w:afterAutospacing="1"/>
              <w:jc w:val="left"/>
              <w:rPr>
                <w:b/>
                <w:sz w:val="30"/>
              </w:rPr>
            </w:pPr>
          </w:p>
        </w:tc>
        <w:tc>
          <w:tcPr>
            <w:hMerge w:val="restart"/>
          </w:tcPr>
          <w:p w:rsidR="001A6775">
            <w:pPr>
              <w:bidi w:val="0"/>
              <w:spacing w:after="0" w:afterAutospacing="1"/>
              <w:jc w:val="center"/>
              <w:rPr>
                <w:b/>
                <w:sz w:val="20"/>
              </w:rPr>
            </w:pPr>
          </w:p>
        </w:tc>
        <w:tc>
          <w:tcPr>
            <w:hMerge/>
          </w:tcPr>
          <w:p w:rsidR="001A6775">
            <w:pPr>
              <w:bidi w:val="0"/>
              <w:spacing w:after="0" w:afterAutospacing="1"/>
              <w:jc w:val="center"/>
              <w:rPr>
                <w:b/>
                <w:sz w:val="30"/>
              </w:rPr>
            </w:pPr>
          </w:p>
        </w:tc>
        <w:tc>
          <w:tcPr>
            <w:hMerge/>
          </w:tcPr>
          <w:p w:rsidR="001A6775">
            <w:pPr>
              <w:bidi w:val="0"/>
              <w:spacing w:after="0" w:afterAutospacing="1"/>
              <w:jc w:val="center"/>
              <w:rPr>
                <w:b/>
                <w:sz w:val="30"/>
              </w:rPr>
            </w:pPr>
          </w:p>
        </w:tc>
        <w:tc>
          <w:tcPr>
            <w:hMerge/>
          </w:tcPr>
          <w:p w:rsidR="001A6775">
            <w:pPr>
              <w:bidi w:val="0"/>
              <w:spacing w:after="0" w:afterAutospacing="1"/>
              <w:jc w:val="center"/>
              <w:rPr>
                <w:b/>
                <w:sz w:val="30"/>
              </w:rPr>
            </w:pP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sz w:val="20"/>
              </w:rPr>
            </w:pPr>
            <w:r>
              <w:rPr>
                <w:b/>
                <w:sz w:val="20"/>
              </w:rPr>
              <w:t>Year (ending June 30)</w:t>
            </w:r>
          </w:p>
        </w:tc>
        <w:tc>
          <w:tcPr>
            <w:vAlign w:val="center"/>
          </w:tcPr>
          <w:p w:rsidR="001A6775">
            <w:pPr>
              <w:bidi w:val="0"/>
              <w:spacing w:after="0" w:afterAutospacing="1"/>
              <w:jc w:val="right"/>
              <w:rPr>
                <w:b/>
                <w:sz w:val="20"/>
              </w:rPr>
            </w:pPr>
            <w:r>
              <w:rPr>
                <w:b/>
                <w:sz w:val="20"/>
              </w:rPr>
              <w:t>Number</w:t>
            </w:r>
          </w:p>
        </w:tc>
        <w:tc>
          <w:tcPr>
            <w:vAlign w:val="center"/>
          </w:tcPr>
          <w:p w:rsidR="001A6775">
            <w:pPr>
              <w:bidi w:val="0"/>
              <w:spacing w:after="0" w:afterAutospacing="1"/>
              <w:jc w:val="right"/>
              <w:rPr>
                <w:b/>
                <w:sz w:val="20"/>
              </w:rPr>
            </w:pPr>
            <w:r>
              <w:rPr>
                <w:b/>
                <w:sz w:val="20"/>
              </w:rPr>
              <w:t>Change in number</w:t>
            </w:r>
          </w:p>
        </w:tc>
        <w:tc>
          <w:tcPr>
            <w:vAlign w:val="center"/>
          </w:tcPr>
          <w:p w:rsidR="001A6775">
            <w:pPr>
              <w:bidi w:val="0"/>
              <w:spacing w:after="0" w:afterAutospacing="1"/>
              <w:jc w:val="right"/>
              <w:rPr>
                <w:b/>
                <w:sz w:val="20"/>
              </w:rPr>
            </w:pPr>
            <w:r>
              <w:rPr>
                <w:b/>
                <w:sz w:val="20"/>
              </w:rPr>
              <w:t>Change in percent</w:t>
            </w:r>
          </w:p>
        </w:tc>
        <w:tc>
          <w:tcPr>
            <w:vAlign w:val="center"/>
          </w:tcPr>
          <w:p w:rsidR="001A6775">
            <w:pPr>
              <w:bidi w:val="0"/>
              <w:spacing w:after="0" w:afterAutospacing="1"/>
              <w:jc w:val="right"/>
              <w:rPr>
                <w:b/>
                <w:sz w:val="20"/>
              </w:rPr>
            </w:pPr>
            <w:r>
              <w:rPr>
                <w:b/>
                <w:sz w:val="20"/>
              </w:rPr>
              <w:t>South East Queensland change in percent</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right"/>
              <w:rPr>
                <w:b w:val="0"/>
                <w:sz w:val="20"/>
              </w:rPr>
            </w:pPr>
            <w:r>
              <w:rPr>
                <w:b w:val="0"/>
                <w:sz w:val="20"/>
              </w:rPr>
              <w:t>2006</w:t>
            </w:r>
          </w:p>
        </w:tc>
        <w:tc>
          <w:tcPr>
            <w:vAlign w:val="center"/>
          </w:tcPr>
          <w:p w:rsidR="001A6775">
            <w:pPr>
              <w:bidi w:val="0"/>
              <w:spacing w:after="0" w:afterAutospacing="1"/>
              <w:jc w:val="right"/>
              <w:rPr>
                <w:b w:val="0"/>
                <w:sz w:val="20"/>
              </w:rPr>
            </w:pPr>
            <w:r>
              <w:rPr>
                <w:b w:val="0"/>
                <w:sz w:val="20"/>
              </w:rPr>
              <w:t>450,075</w:t>
            </w:r>
          </w:p>
        </w:tc>
        <w:tc>
          <w:tcPr>
            <w:vAlign w:val="center"/>
          </w:tcPr>
          <w:p w:rsidR="001A6775">
            <w:pPr>
              <w:bidi w:val="0"/>
              <w:spacing w:after="0" w:afterAutospacing="1"/>
              <w:jc w:val="left"/>
              <w:rPr>
                <w:b w:val="0"/>
                <w:sz w:val="20"/>
              </w:rPr>
            </w:pPr>
          </w:p>
        </w:tc>
        <w:tc>
          <w:tcPr>
            <w:vAlign w:val="center"/>
          </w:tcPr>
          <w:p w:rsidR="001A6775">
            <w:pPr>
              <w:bidi w:val="0"/>
              <w:spacing w:after="0" w:afterAutospacing="1"/>
              <w:jc w:val="left"/>
              <w:rPr>
                <w:b w:val="0"/>
                <w:sz w:val="20"/>
              </w:rPr>
            </w:pPr>
          </w:p>
        </w:tc>
        <w:tc>
          <w:tcPr>
            <w:vAlign w:val="center"/>
          </w:tcPr>
          <w:p w:rsidR="001A6775">
            <w:pPr>
              <w:bidi w:val="0"/>
              <w:spacing w:after="0" w:afterAutospacing="1"/>
              <w:jc w:val="left"/>
              <w:rPr>
                <w:b w:val="0"/>
                <w:sz w:val="20"/>
              </w:rPr>
            </w:pP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right"/>
              <w:rPr>
                <w:b w:val="0"/>
                <w:sz w:val="20"/>
              </w:rPr>
            </w:pPr>
            <w:r>
              <w:rPr>
                <w:b w:val="0"/>
                <w:sz w:val="20"/>
              </w:rPr>
              <w:t>2007</w:t>
            </w:r>
          </w:p>
        </w:tc>
        <w:tc>
          <w:tcPr>
            <w:vAlign w:val="center"/>
          </w:tcPr>
          <w:p w:rsidR="001A6775">
            <w:pPr>
              <w:bidi w:val="0"/>
              <w:spacing w:after="0" w:afterAutospacing="1"/>
              <w:jc w:val="right"/>
              <w:rPr>
                <w:b w:val="0"/>
                <w:sz w:val="20"/>
              </w:rPr>
            </w:pPr>
            <w:r>
              <w:rPr>
                <w:b w:val="0"/>
                <w:sz w:val="20"/>
              </w:rPr>
              <w:t>466,940</w:t>
            </w:r>
          </w:p>
        </w:tc>
        <w:tc>
          <w:tcPr>
            <w:vAlign w:val="center"/>
          </w:tcPr>
          <w:p w:rsidR="001A6775">
            <w:pPr>
              <w:bidi w:val="0"/>
              <w:spacing w:after="0" w:afterAutospacing="1"/>
              <w:jc w:val="right"/>
              <w:rPr>
                <w:b w:val="0"/>
                <w:sz w:val="20"/>
              </w:rPr>
            </w:pPr>
            <w:r>
              <w:rPr>
                <w:b w:val="0"/>
                <w:sz w:val="20"/>
              </w:rPr>
              <w:t>+16,865</w:t>
            </w:r>
          </w:p>
        </w:tc>
        <w:tc>
          <w:tcPr>
            <w:vAlign w:val="center"/>
          </w:tcPr>
          <w:p w:rsidR="001A6775">
            <w:pPr>
              <w:bidi w:val="0"/>
              <w:spacing w:after="0" w:afterAutospacing="1"/>
              <w:jc w:val="right"/>
              <w:rPr>
                <w:b w:val="0"/>
                <w:sz w:val="20"/>
              </w:rPr>
            </w:pPr>
            <w:r>
              <w:rPr>
                <w:b w:val="0"/>
                <w:sz w:val="20"/>
              </w:rPr>
              <w:t>+3.75</w:t>
            </w:r>
          </w:p>
        </w:tc>
        <w:tc>
          <w:tcPr>
            <w:vAlign w:val="center"/>
          </w:tcPr>
          <w:p w:rsidR="001A6775">
            <w:pPr>
              <w:bidi w:val="0"/>
              <w:spacing w:after="0" w:afterAutospacing="1"/>
              <w:jc w:val="right"/>
              <w:rPr>
                <w:b w:val="0"/>
                <w:sz w:val="20"/>
              </w:rPr>
            </w:pPr>
            <w:r>
              <w:rPr>
                <w:b w:val="0"/>
                <w:sz w:val="20"/>
              </w:rPr>
              <w:t>+2.82</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right"/>
              <w:rPr>
                <w:b w:val="0"/>
                <w:sz w:val="20"/>
              </w:rPr>
            </w:pPr>
            <w:r>
              <w:rPr>
                <w:b w:val="0"/>
                <w:sz w:val="20"/>
              </w:rPr>
              <w:t>2008</w:t>
            </w:r>
          </w:p>
        </w:tc>
        <w:tc>
          <w:tcPr>
            <w:vAlign w:val="center"/>
          </w:tcPr>
          <w:p w:rsidR="001A6775">
            <w:pPr>
              <w:bidi w:val="0"/>
              <w:spacing w:after="0" w:afterAutospacing="1"/>
              <w:jc w:val="right"/>
              <w:rPr>
                <w:b w:val="0"/>
                <w:sz w:val="20"/>
              </w:rPr>
            </w:pPr>
            <w:r>
              <w:rPr>
                <w:b w:val="0"/>
                <w:sz w:val="20"/>
              </w:rPr>
              <w:t>481,569</w:t>
            </w:r>
          </w:p>
        </w:tc>
        <w:tc>
          <w:tcPr>
            <w:vAlign w:val="center"/>
          </w:tcPr>
          <w:p w:rsidR="001A6775">
            <w:pPr>
              <w:bidi w:val="0"/>
              <w:spacing w:after="0" w:afterAutospacing="1"/>
              <w:jc w:val="right"/>
              <w:rPr>
                <w:b w:val="0"/>
                <w:sz w:val="20"/>
              </w:rPr>
            </w:pPr>
            <w:r>
              <w:rPr>
                <w:b w:val="0"/>
                <w:sz w:val="20"/>
              </w:rPr>
              <w:t>+14,629</w:t>
            </w:r>
          </w:p>
        </w:tc>
        <w:tc>
          <w:tcPr>
            <w:vAlign w:val="center"/>
          </w:tcPr>
          <w:p w:rsidR="001A6775">
            <w:pPr>
              <w:bidi w:val="0"/>
              <w:spacing w:after="0" w:afterAutospacing="1"/>
              <w:jc w:val="right"/>
              <w:rPr>
                <w:b w:val="0"/>
                <w:sz w:val="20"/>
              </w:rPr>
            </w:pPr>
            <w:r>
              <w:rPr>
                <w:b w:val="0"/>
                <w:sz w:val="20"/>
              </w:rPr>
              <w:t>+3.13</w:t>
            </w:r>
          </w:p>
        </w:tc>
        <w:tc>
          <w:tcPr>
            <w:vAlign w:val="center"/>
          </w:tcPr>
          <w:p w:rsidR="001A6775">
            <w:pPr>
              <w:bidi w:val="0"/>
              <w:spacing w:after="0" w:afterAutospacing="1"/>
              <w:jc w:val="right"/>
              <w:rPr>
                <w:b w:val="0"/>
                <w:sz w:val="20"/>
              </w:rPr>
            </w:pPr>
            <w:r>
              <w:rPr>
                <w:b w:val="0"/>
                <w:sz w:val="20"/>
              </w:rPr>
              <w:t>+2.80</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right"/>
              <w:rPr>
                <w:b w:val="0"/>
                <w:sz w:val="20"/>
              </w:rPr>
            </w:pPr>
            <w:r>
              <w:rPr>
                <w:b w:val="0"/>
                <w:sz w:val="20"/>
              </w:rPr>
              <w:t>2009</w:t>
            </w:r>
          </w:p>
        </w:tc>
        <w:tc>
          <w:tcPr>
            <w:vAlign w:val="center"/>
          </w:tcPr>
          <w:p w:rsidR="001A6775">
            <w:pPr>
              <w:bidi w:val="0"/>
              <w:spacing w:after="0" w:afterAutospacing="1"/>
              <w:jc w:val="right"/>
              <w:rPr>
                <w:b w:val="0"/>
                <w:sz w:val="20"/>
              </w:rPr>
            </w:pPr>
            <w:r>
              <w:rPr>
                <w:b w:val="0"/>
                <w:sz w:val="20"/>
              </w:rPr>
              <w:t>495,835</w:t>
            </w:r>
          </w:p>
        </w:tc>
        <w:tc>
          <w:tcPr>
            <w:vAlign w:val="center"/>
          </w:tcPr>
          <w:p w:rsidR="001A6775">
            <w:pPr>
              <w:bidi w:val="0"/>
              <w:spacing w:after="0" w:afterAutospacing="1"/>
              <w:jc w:val="right"/>
              <w:rPr>
                <w:b w:val="0"/>
                <w:sz w:val="20"/>
              </w:rPr>
            </w:pPr>
            <w:r>
              <w:rPr>
                <w:b w:val="0"/>
                <w:sz w:val="20"/>
              </w:rPr>
              <w:t>+14,266</w:t>
            </w:r>
          </w:p>
        </w:tc>
        <w:tc>
          <w:tcPr>
            <w:vAlign w:val="center"/>
          </w:tcPr>
          <w:p w:rsidR="001A6775">
            <w:pPr>
              <w:bidi w:val="0"/>
              <w:spacing w:after="0" w:afterAutospacing="1"/>
              <w:jc w:val="right"/>
              <w:rPr>
                <w:b w:val="0"/>
                <w:sz w:val="20"/>
              </w:rPr>
            </w:pPr>
            <w:r>
              <w:rPr>
                <w:b w:val="0"/>
                <w:sz w:val="20"/>
              </w:rPr>
              <w:t>+2.96</w:t>
            </w:r>
          </w:p>
        </w:tc>
        <w:tc>
          <w:tcPr>
            <w:vAlign w:val="center"/>
          </w:tcPr>
          <w:p w:rsidR="001A6775">
            <w:pPr>
              <w:bidi w:val="0"/>
              <w:spacing w:after="0" w:afterAutospacing="1"/>
              <w:jc w:val="right"/>
              <w:rPr>
                <w:b w:val="0"/>
                <w:sz w:val="20"/>
              </w:rPr>
            </w:pPr>
            <w:r>
              <w:rPr>
                <w:b w:val="0"/>
                <w:sz w:val="20"/>
              </w:rPr>
              <w:t>+2.81</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right"/>
              <w:rPr>
                <w:b w:val="0"/>
                <w:sz w:val="20"/>
              </w:rPr>
            </w:pPr>
            <w:r>
              <w:rPr>
                <w:b w:val="0"/>
                <w:sz w:val="20"/>
              </w:rPr>
              <w:t>2010</w:t>
            </w:r>
          </w:p>
        </w:tc>
        <w:tc>
          <w:tcPr>
            <w:vAlign w:val="center"/>
          </w:tcPr>
          <w:p w:rsidR="001A6775">
            <w:pPr>
              <w:bidi w:val="0"/>
              <w:spacing w:after="0" w:afterAutospacing="1"/>
              <w:jc w:val="right"/>
              <w:rPr>
                <w:b w:val="0"/>
                <w:sz w:val="20"/>
              </w:rPr>
            </w:pPr>
            <w:r>
              <w:rPr>
                <w:b w:val="0"/>
                <w:sz w:val="20"/>
              </w:rPr>
              <w:t>506,135</w:t>
            </w:r>
          </w:p>
        </w:tc>
        <w:tc>
          <w:tcPr>
            <w:vAlign w:val="center"/>
          </w:tcPr>
          <w:p w:rsidR="001A6775">
            <w:pPr>
              <w:bidi w:val="0"/>
              <w:spacing w:after="0" w:afterAutospacing="1"/>
              <w:jc w:val="right"/>
              <w:rPr>
                <w:b w:val="0"/>
                <w:sz w:val="20"/>
              </w:rPr>
            </w:pPr>
            <w:r>
              <w:rPr>
                <w:b w:val="0"/>
                <w:sz w:val="20"/>
              </w:rPr>
              <w:t>+10,300</w:t>
            </w:r>
          </w:p>
        </w:tc>
        <w:tc>
          <w:tcPr>
            <w:vAlign w:val="center"/>
          </w:tcPr>
          <w:p w:rsidR="001A6775">
            <w:pPr>
              <w:bidi w:val="0"/>
              <w:spacing w:after="0" w:afterAutospacing="1"/>
              <w:jc w:val="right"/>
              <w:rPr>
                <w:b w:val="0"/>
                <w:sz w:val="20"/>
              </w:rPr>
            </w:pPr>
            <w:r>
              <w:rPr>
                <w:b w:val="0"/>
                <w:sz w:val="20"/>
              </w:rPr>
              <w:t>+2.08</w:t>
            </w:r>
          </w:p>
        </w:tc>
        <w:tc>
          <w:tcPr>
            <w:vAlign w:val="center"/>
          </w:tcPr>
          <w:p w:rsidR="001A6775">
            <w:pPr>
              <w:bidi w:val="0"/>
              <w:spacing w:after="0" w:afterAutospacing="1"/>
              <w:jc w:val="right"/>
              <w:rPr>
                <w:b w:val="0"/>
                <w:sz w:val="20"/>
              </w:rPr>
            </w:pPr>
            <w:r>
              <w:rPr>
                <w:b w:val="0"/>
                <w:sz w:val="20"/>
              </w:rPr>
              <w:t>+1.93</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right"/>
              <w:rPr>
                <w:b w:val="0"/>
                <w:sz w:val="20"/>
              </w:rPr>
            </w:pPr>
            <w:r>
              <w:rPr>
                <w:b w:val="0"/>
                <w:sz w:val="20"/>
              </w:rPr>
              <w:t>2011</w:t>
            </w:r>
          </w:p>
        </w:tc>
        <w:tc>
          <w:tcPr>
            <w:vAlign w:val="center"/>
          </w:tcPr>
          <w:p w:rsidR="001A6775">
            <w:pPr>
              <w:bidi w:val="0"/>
              <w:spacing w:after="0" w:afterAutospacing="1"/>
              <w:jc w:val="right"/>
              <w:rPr>
                <w:b w:val="0"/>
                <w:sz w:val="20"/>
              </w:rPr>
            </w:pPr>
            <w:r>
              <w:rPr>
                <w:b w:val="0"/>
                <w:sz w:val="20"/>
              </w:rPr>
              <w:t>515,202</w:t>
            </w:r>
          </w:p>
        </w:tc>
        <w:tc>
          <w:tcPr>
            <w:vAlign w:val="center"/>
          </w:tcPr>
          <w:p w:rsidR="001A6775">
            <w:pPr>
              <w:bidi w:val="0"/>
              <w:spacing w:after="0" w:afterAutospacing="1"/>
              <w:jc w:val="right"/>
              <w:rPr>
                <w:b w:val="0"/>
                <w:sz w:val="20"/>
              </w:rPr>
            </w:pPr>
            <w:r>
              <w:rPr>
                <w:b w:val="0"/>
                <w:sz w:val="20"/>
              </w:rPr>
              <w:t>+9,067</w:t>
            </w:r>
          </w:p>
        </w:tc>
        <w:tc>
          <w:tcPr>
            <w:vAlign w:val="center"/>
          </w:tcPr>
          <w:p w:rsidR="001A6775">
            <w:pPr>
              <w:bidi w:val="0"/>
              <w:spacing w:after="0" w:afterAutospacing="1"/>
              <w:jc w:val="right"/>
              <w:rPr>
                <w:b w:val="0"/>
                <w:sz w:val="20"/>
              </w:rPr>
            </w:pPr>
            <w:r>
              <w:rPr>
                <w:b w:val="0"/>
                <w:sz w:val="20"/>
              </w:rPr>
              <w:t>+1.79</w:t>
            </w:r>
          </w:p>
        </w:tc>
        <w:tc>
          <w:tcPr>
            <w:vAlign w:val="center"/>
          </w:tcPr>
          <w:p w:rsidR="001A6775">
            <w:pPr>
              <w:bidi w:val="0"/>
              <w:spacing w:after="0" w:afterAutospacing="1"/>
              <w:jc w:val="right"/>
              <w:rPr>
                <w:b w:val="0"/>
                <w:sz w:val="20"/>
              </w:rPr>
            </w:pPr>
            <w:r>
              <w:rPr>
                <w:b w:val="0"/>
                <w:sz w:val="20"/>
              </w:rPr>
              <w:t>+1.79</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right"/>
              <w:rPr>
                <w:b w:val="0"/>
                <w:sz w:val="20"/>
              </w:rPr>
            </w:pPr>
            <w:r>
              <w:rPr>
                <w:b w:val="0"/>
                <w:sz w:val="20"/>
              </w:rPr>
              <w:t>2012</w:t>
            </w:r>
          </w:p>
        </w:tc>
        <w:tc>
          <w:tcPr>
            <w:vAlign w:val="center"/>
          </w:tcPr>
          <w:p w:rsidR="001A6775">
            <w:pPr>
              <w:bidi w:val="0"/>
              <w:spacing w:after="0" w:afterAutospacing="1"/>
              <w:jc w:val="right"/>
              <w:rPr>
                <w:b w:val="0"/>
                <w:sz w:val="20"/>
              </w:rPr>
            </w:pPr>
            <w:r>
              <w:rPr>
                <w:b w:val="0"/>
                <w:sz w:val="20"/>
              </w:rPr>
              <w:t>528,342</w:t>
            </w:r>
          </w:p>
        </w:tc>
        <w:tc>
          <w:tcPr>
            <w:vAlign w:val="center"/>
          </w:tcPr>
          <w:p w:rsidR="001A6775">
            <w:pPr>
              <w:bidi w:val="0"/>
              <w:spacing w:after="0" w:afterAutospacing="1"/>
              <w:jc w:val="right"/>
              <w:rPr>
                <w:b w:val="0"/>
                <w:sz w:val="20"/>
              </w:rPr>
            </w:pPr>
            <w:r>
              <w:rPr>
                <w:b w:val="0"/>
                <w:sz w:val="20"/>
              </w:rPr>
              <w:t>+13,140</w:t>
            </w:r>
          </w:p>
        </w:tc>
        <w:tc>
          <w:tcPr>
            <w:vAlign w:val="center"/>
          </w:tcPr>
          <w:p w:rsidR="001A6775">
            <w:pPr>
              <w:bidi w:val="0"/>
              <w:spacing w:after="0" w:afterAutospacing="1"/>
              <w:jc w:val="right"/>
              <w:rPr>
                <w:b w:val="0"/>
                <w:sz w:val="20"/>
              </w:rPr>
            </w:pPr>
            <w:r>
              <w:rPr>
                <w:b w:val="0"/>
                <w:sz w:val="20"/>
              </w:rPr>
              <w:t>+2.55</w:t>
            </w:r>
          </w:p>
        </w:tc>
        <w:tc>
          <w:tcPr>
            <w:vAlign w:val="center"/>
          </w:tcPr>
          <w:p w:rsidR="001A6775">
            <w:pPr>
              <w:bidi w:val="0"/>
              <w:spacing w:after="0" w:afterAutospacing="1"/>
              <w:jc w:val="right"/>
              <w:rPr>
                <w:b w:val="0"/>
                <w:sz w:val="20"/>
              </w:rPr>
            </w:pPr>
            <w:r>
              <w:rPr>
                <w:b w:val="0"/>
                <w:sz w:val="20"/>
              </w:rPr>
              <w:t>+2.35</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right"/>
              <w:rPr>
                <w:b w:val="0"/>
                <w:sz w:val="20"/>
              </w:rPr>
            </w:pPr>
            <w:r>
              <w:rPr>
                <w:b w:val="0"/>
                <w:sz w:val="20"/>
              </w:rPr>
              <w:t>2013</w:t>
            </w:r>
          </w:p>
        </w:tc>
        <w:tc>
          <w:tcPr>
            <w:vAlign w:val="center"/>
          </w:tcPr>
          <w:p w:rsidR="001A6775">
            <w:pPr>
              <w:bidi w:val="0"/>
              <w:spacing w:after="0" w:afterAutospacing="1"/>
              <w:jc w:val="right"/>
              <w:rPr>
                <w:b w:val="0"/>
                <w:sz w:val="20"/>
              </w:rPr>
            </w:pPr>
            <w:r>
              <w:rPr>
                <w:b w:val="0"/>
                <w:sz w:val="20"/>
              </w:rPr>
              <w:t>540,687</w:t>
            </w:r>
          </w:p>
        </w:tc>
        <w:tc>
          <w:tcPr>
            <w:vAlign w:val="center"/>
          </w:tcPr>
          <w:p w:rsidR="001A6775">
            <w:pPr>
              <w:bidi w:val="0"/>
              <w:spacing w:after="0" w:afterAutospacing="1"/>
              <w:jc w:val="right"/>
              <w:rPr>
                <w:b w:val="0"/>
                <w:sz w:val="20"/>
              </w:rPr>
            </w:pPr>
            <w:r>
              <w:rPr>
                <w:b w:val="0"/>
                <w:sz w:val="20"/>
              </w:rPr>
              <w:t>+12,345</w:t>
            </w:r>
          </w:p>
        </w:tc>
        <w:tc>
          <w:tcPr>
            <w:vAlign w:val="center"/>
          </w:tcPr>
          <w:p w:rsidR="001A6775">
            <w:pPr>
              <w:bidi w:val="0"/>
              <w:spacing w:after="0" w:afterAutospacing="1"/>
              <w:jc w:val="right"/>
              <w:rPr>
                <w:b w:val="0"/>
                <w:sz w:val="20"/>
              </w:rPr>
            </w:pPr>
            <w:r>
              <w:rPr>
                <w:b w:val="0"/>
                <w:sz w:val="20"/>
              </w:rPr>
              <w:t>+2.34</w:t>
            </w:r>
          </w:p>
        </w:tc>
        <w:tc>
          <w:tcPr>
            <w:vAlign w:val="center"/>
          </w:tcPr>
          <w:p w:rsidR="001A6775">
            <w:pPr>
              <w:bidi w:val="0"/>
              <w:spacing w:after="0" w:afterAutospacing="1"/>
              <w:jc w:val="right"/>
              <w:rPr>
                <w:b w:val="0"/>
                <w:sz w:val="20"/>
              </w:rPr>
            </w:pPr>
            <w:r>
              <w:rPr>
                <w:b w:val="0"/>
                <w:sz w:val="20"/>
              </w:rPr>
              <w:t>+2.15</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right"/>
              <w:rPr>
                <w:b w:val="0"/>
                <w:sz w:val="20"/>
              </w:rPr>
            </w:pPr>
            <w:r>
              <w:rPr>
                <w:b w:val="0"/>
                <w:sz w:val="20"/>
              </w:rPr>
              <w:t>2014</w:t>
            </w:r>
          </w:p>
        </w:tc>
        <w:tc>
          <w:tcPr>
            <w:vAlign w:val="center"/>
          </w:tcPr>
          <w:p w:rsidR="001A6775">
            <w:pPr>
              <w:bidi w:val="0"/>
              <w:spacing w:after="0" w:afterAutospacing="1"/>
              <w:jc w:val="right"/>
              <w:rPr>
                <w:b w:val="0"/>
                <w:sz w:val="20"/>
              </w:rPr>
            </w:pPr>
            <w:r>
              <w:rPr>
                <w:b w:val="0"/>
                <w:sz w:val="20"/>
              </w:rPr>
              <w:t>550,718</w:t>
            </w:r>
          </w:p>
        </w:tc>
        <w:tc>
          <w:tcPr>
            <w:vAlign w:val="center"/>
          </w:tcPr>
          <w:p w:rsidR="001A6775">
            <w:pPr>
              <w:bidi w:val="0"/>
              <w:spacing w:after="0" w:afterAutospacing="1"/>
              <w:jc w:val="right"/>
              <w:rPr>
                <w:b w:val="0"/>
                <w:sz w:val="20"/>
              </w:rPr>
            </w:pPr>
            <w:r>
              <w:rPr>
                <w:b w:val="0"/>
                <w:sz w:val="20"/>
              </w:rPr>
              <w:t>+10,031</w:t>
            </w:r>
          </w:p>
        </w:tc>
        <w:tc>
          <w:tcPr>
            <w:vAlign w:val="center"/>
          </w:tcPr>
          <w:p w:rsidR="001A6775">
            <w:pPr>
              <w:bidi w:val="0"/>
              <w:spacing w:after="0" w:afterAutospacing="1"/>
              <w:jc w:val="right"/>
              <w:rPr>
                <w:b w:val="0"/>
                <w:sz w:val="20"/>
              </w:rPr>
            </w:pPr>
            <w:r>
              <w:rPr>
                <w:b w:val="0"/>
                <w:sz w:val="20"/>
              </w:rPr>
              <w:t>+1.86</w:t>
            </w:r>
          </w:p>
        </w:tc>
        <w:tc>
          <w:tcPr>
            <w:vAlign w:val="center"/>
          </w:tcPr>
          <w:p w:rsidR="001A6775">
            <w:pPr>
              <w:bidi w:val="0"/>
              <w:spacing w:after="0" w:afterAutospacing="1"/>
              <w:jc w:val="right"/>
              <w:rPr>
                <w:b w:val="0"/>
                <w:sz w:val="20"/>
              </w:rPr>
            </w:pPr>
            <w:r>
              <w:rPr>
                <w:b w:val="0"/>
                <w:sz w:val="20"/>
              </w:rPr>
              <w:t>+1.84</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right"/>
              <w:rPr>
                <w:b w:val="0"/>
                <w:sz w:val="20"/>
              </w:rPr>
            </w:pPr>
            <w:r>
              <w:rPr>
                <w:b w:val="0"/>
                <w:sz w:val="20"/>
              </w:rPr>
              <w:t>2015</w:t>
            </w:r>
          </w:p>
        </w:tc>
        <w:tc>
          <w:tcPr>
            <w:vAlign w:val="center"/>
          </w:tcPr>
          <w:p w:rsidR="001A6775">
            <w:pPr>
              <w:bidi w:val="0"/>
              <w:spacing w:after="0" w:afterAutospacing="1"/>
              <w:jc w:val="right"/>
              <w:rPr>
                <w:b w:val="0"/>
                <w:sz w:val="20"/>
              </w:rPr>
            </w:pPr>
            <w:r>
              <w:rPr>
                <w:b w:val="0"/>
                <w:sz w:val="20"/>
              </w:rPr>
              <w:t>561,629</w:t>
            </w:r>
          </w:p>
        </w:tc>
        <w:tc>
          <w:tcPr>
            <w:vAlign w:val="center"/>
          </w:tcPr>
          <w:p w:rsidR="001A6775">
            <w:pPr>
              <w:bidi w:val="0"/>
              <w:spacing w:after="0" w:afterAutospacing="1"/>
              <w:jc w:val="right"/>
              <w:rPr>
                <w:b w:val="0"/>
                <w:sz w:val="20"/>
              </w:rPr>
            </w:pPr>
            <w:r>
              <w:rPr>
                <w:b w:val="0"/>
                <w:sz w:val="20"/>
              </w:rPr>
              <w:t>+10,911</w:t>
            </w:r>
          </w:p>
        </w:tc>
        <w:tc>
          <w:tcPr>
            <w:vAlign w:val="center"/>
          </w:tcPr>
          <w:p w:rsidR="001A6775">
            <w:pPr>
              <w:bidi w:val="0"/>
              <w:spacing w:after="0" w:afterAutospacing="1"/>
              <w:jc w:val="right"/>
              <w:rPr>
                <w:b w:val="0"/>
                <w:sz w:val="20"/>
              </w:rPr>
            </w:pPr>
            <w:r>
              <w:rPr>
                <w:b w:val="0"/>
                <w:sz w:val="20"/>
              </w:rPr>
              <w:t>+1.98</w:t>
            </w:r>
          </w:p>
        </w:tc>
        <w:tc>
          <w:tcPr>
            <w:vAlign w:val="center"/>
          </w:tcPr>
          <w:p w:rsidR="001A6775">
            <w:pPr>
              <w:bidi w:val="0"/>
              <w:spacing w:after="0" w:afterAutospacing="1"/>
              <w:jc w:val="right"/>
              <w:rPr>
                <w:b w:val="0"/>
                <w:sz w:val="20"/>
              </w:rPr>
            </w:pPr>
            <w:r>
              <w:rPr>
                <w:b w:val="0"/>
                <w:sz w:val="20"/>
              </w:rPr>
              <w:t>+1.73</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right"/>
              <w:rPr>
                <w:b w:val="0"/>
                <w:sz w:val="20"/>
              </w:rPr>
            </w:pPr>
            <w:r>
              <w:rPr>
                <w:b w:val="0"/>
                <w:sz w:val="20"/>
              </w:rPr>
              <w:t>2016</w:t>
            </w:r>
          </w:p>
        </w:tc>
        <w:tc>
          <w:tcPr>
            <w:vAlign w:val="center"/>
          </w:tcPr>
          <w:p w:rsidR="001A6775">
            <w:pPr>
              <w:bidi w:val="0"/>
              <w:spacing w:after="0" w:afterAutospacing="1"/>
              <w:jc w:val="right"/>
              <w:rPr>
                <w:b w:val="0"/>
                <w:sz w:val="20"/>
              </w:rPr>
            </w:pPr>
            <w:r>
              <w:rPr>
                <w:b w:val="0"/>
                <w:sz w:val="20"/>
              </w:rPr>
              <w:t>575,303</w:t>
            </w:r>
          </w:p>
        </w:tc>
        <w:tc>
          <w:tcPr>
            <w:vAlign w:val="center"/>
          </w:tcPr>
          <w:p w:rsidR="001A6775">
            <w:pPr>
              <w:bidi w:val="0"/>
              <w:spacing w:after="0" w:afterAutospacing="1"/>
              <w:jc w:val="right"/>
              <w:rPr>
                <w:b w:val="0"/>
                <w:sz w:val="20"/>
              </w:rPr>
            </w:pPr>
            <w:r>
              <w:rPr>
                <w:b w:val="0"/>
                <w:sz w:val="20"/>
              </w:rPr>
              <w:t>+13,674</w:t>
            </w:r>
          </w:p>
        </w:tc>
        <w:tc>
          <w:tcPr>
            <w:vAlign w:val="center"/>
          </w:tcPr>
          <w:p w:rsidR="001A6775">
            <w:pPr>
              <w:bidi w:val="0"/>
              <w:spacing w:after="0" w:afterAutospacing="1"/>
              <w:jc w:val="right"/>
              <w:rPr>
                <w:b w:val="0"/>
                <w:sz w:val="20"/>
              </w:rPr>
            </w:pPr>
            <w:r>
              <w:rPr>
                <w:b w:val="0"/>
                <w:sz w:val="20"/>
              </w:rPr>
              <w:t>+2.43</w:t>
            </w:r>
          </w:p>
        </w:tc>
        <w:tc>
          <w:tcPr>
            <w:vAlign w:val="center"/>
          </w:tcPr>
          <w:p w:rsidR="001A6775">
            <w:pPr>
              <w:bidi w:val="0"/>
              <w:spacing w:after="0" w:afterAutospacing="1"/>
              <w:jc w:val="right"/>
              <w:rPr>
                <w:b w:val="0"/>
                <w:sz w:val="20"/>
              </w:rPr>
            </w:pPr>
            <w:r>
              <w:rPr>
                <w:b w:val="0"/>
                <w:sz w:val="20"/>
              </w:rPr>
              <w:t>+2.03</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right"/>
              <w:rPr>
                <w:b w:val="0"/>
                <w:sz w:val="20"/>
              </w:rPr>
            </w:pPr>
            <w:r>
              <w:rPr>
                <w:b w:val="0"/>
                <w:sz w:val="20"/>
              </w:rPr>
              <w:t>2017</w:t>
            </w:r>
          </w:p>
        </w:tc>
        <w:tc>
          <w:tcPr>
            <w:vAlign w:val="center"/>
          </w:tcPr>
          <w:p w:rsidR="001A6775">
            <w:pPr>
              <w:bidi w:val="0"/>
              <w:spacing w:after="0" w:afterAutospacing="1"/>
              <w:jc w:val="right"/>
              <w:rPr>
                <w:b w:val="0"/>
                <w:sz w:val="20"/>
              </w:rPr>
            </w:pPr>
            <w:r>
              <w:rPr>
                <w:b w:val="0"/>
                <w:sz w:val="20"/>
              </w:rPr>
              <w:t>589,101</w:t>
            </w:r>
          </w:p>
        </w:tc>
        <w:tc>
          <w:tcPr>
            <w:vAlign w:val="center"/>
          </w:tcPr>
          <w:p w:rsidR="001A6775">
            <w:pPr>
              <w:bidi w:val="0"/>
              <w:spacing w:after="0" w:afterAutospacing="1"/>
              <w:jc w:val="right"/>
              <w:rPr>
                <w:b w:val="0"/>
                <w:sz w:val="20"/>
              </w:rPr>
            </w:pPr>
            <w:r>
              <w:rPr>
                <w:b w:val="0"/>
                <w:sz w:val="20"/>
              </w:rPr>
              <w:t>+13,798</w:t>
            </w:r>
          </w:p>
        </w:tc>
        <w:tc>
          <w:tcPr>
            <w:vAlign w:val="center"/>
          </w:tcPr>
          <w:p w:rsidR="001A6775">
            <w:pPr>
              <w:bidi w:val="0"/>
              <w:spacing w:after="0" w:afterAutospacing="1"/>
              <w:jc w:val="right"/>
              <w:rPr>
                <w:b w:val="0"/>
                <w:sz w:val="20"/>
              </w:rPr>
            </w:pPr>
            <w:r>
              <w:rPr>
                <w:b w:val="0"/>
                <w:sz w:val="20"/>
              </w:rPr>
              <w:t>+2.40</w:t>
            </w:r>
          </w:p>
        </w:tc>
        <w:tc>
          <w:tcPr>
            <w:vAlign w:val="center"/>
          </w:tcPr>
          <w:p w:rsidR="001A6775">
            <w:pPr>
              <w:bidi w:val="0"/>
              <w:spacing w:after="0" w:afterAutospacing="1"/>
              <w:jc w:val="right"/>
              <w:rPr>
                <w:b w:val="0"/>
                <w:sz w:val="20"/>
              </w:rPr>
            </w:pPr>
            <w:r>
              <w:rPr>
                <w:b w:val="0"/>
                <w:sz w:val="20"/>
              </w:rPr>
              <w:t>+2.12</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right"/>
              <w:rPr>
                <w:b w:val="0"/>
                <w:sz w:val="20"/>
              </w:rPr>
            </w:pPr>
            <w:r>
              <w:rPr>
                <w:b w:val="0"/>
                <w:sz w:val="20"/>
              </w:rPr>
              <w:t>2018</w:t>
            </w:r>
          </w:p>
        </w:tc>
        <w:tc>
          <w:tcPr>
            <w:vAlign w:val="center"/>
          </w:tcPr>
          <w:p w:rsidR="001A6775">
            <w:pPr>
              <w:bidi w:val="0"/>
              <w:spacing w:after="0" w:afterAutospacing="1"/>
              <w:jc w:val="right"/>
              <w:rPr>
                <w:b w:val="0"/>
                <w:sz w:val="20"/>
              </w:rPr>
            </w:pPr>
            <w:r>
              <w:rPr>
                <w:b w:val="0"/>
                <w:sz w:val="20"/>
              </w:rPr>
              <w:t>602,443</w:t>
            </w:r>
          </w:p>
        </w:tc>
        <w:tc>
          <w:tcPr>
            <w:vAlign w:val="center"/>
          </w:tcPr>
          <w:p w:rsidR="001A6775">
            <w:pPr>
              <w:bidi w:val="0"/>
              <w:spacing w:after="0" w:afterAutospacing="1"/>
              <w:jc w:val="right"/>
              <w:rPr>
                <w:b w:val="0"/>
                <w:sz w:val="20"/>
              </w:rPr>
            </w:pPr>
            <w:r>
              <w:rPr>
                <w:b w:val="0"/>
                <w:sz w:val="20"/>
              </w:rPr>
              <w:t>+13,342</w:t>
            </w:r>
          </w:p>
        </w:tc>
        <w:tc>
          <w:tcPr>
            <w:vAlign w:val="center"/>
          </w:tcPr>
          <w:p w:rsidR="001A6775">
            <w:pPr>
              <w:bidi w:val="0"/>
              <w:spacing w:after="0" w:afterAutospacing="1"/>
              <w:jc w:val="right"/>
              <w:rPr>
                <w:b w:val="0"/>
                <w:sz w:val="20"/>
              </w:rPr>
            </w:pPr>
            <w:r>
              <w:rPr>
                <w:b w:val="0"/>
                <w:sz w:val="20"/>
              </w:rPr>
              <w:t>+2.26</w:t>
            </w:r>
          </w:p>
        </w:tc>
        <w:tc>
          <w:tcPr>
            <w:vAlign w:val="center"/>
          </w:tcPr>
          <w:p w:rsidR="001A6775">
            <w:pPr>
              <w:bidi w:val="0"/>
              <w:spacing w:after="0" w:afterAutospacing="1"/>
              <w:jc w:val="right"/>
              <w:rPr>
                <w:b w:val="0"/>
                <w:sz w:val="20"/>
              </w:rPr>
            </w:pPr>
            <w:r>
              <w:rPr>
                <w:b w:val="0"/>
                <w:sz w:val="20"/>
              </w:rPr>
              <w:t>+2.04</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right"/>
              <w:rPr>
                <w:b w:val="0"/>
                <w:sz w:val="20"/>
              </w:rPr>
            </w:pPr>
            <w:r>
              <w:rPr>
                <w:b w:val="0"/>
                <w:sz w:val="20"/>
              </w:rPr>
              <w:t>2019</w:t>
            </w:r>
          </w:p>
        </w:tc>
        <w:tc>
          <w:tcPr>
            <w:vAlign w:val="center"/>
          </w:tcPr>
          <w:p w:rsidR="001A6775">
            <w:pPr>
              <w:bidi w:val="0"/>
              <w:spacing w:after="0" w:afterAutospacing="1"/>
              <w:jc w:val="right"/>
              <w:rPr>
                <w:b w:val="0"/>
                <w:sz w:val="20"/>
              </w:rPr>
            </w:pPr>
            <w:r>
              <w:rPr>
                <w:b w:val="0"/>
                <w:sz w:val="20"/>
              </w:rPr>
              <w:t>614,435</w:t>
            </w:r>
          </w:p>
        </w:tc>
        <w:tc>
          <w:tcPr>
            <w:vAlign w:val="center"/>
          </w:tcPr>
          <w:p w:rsidR="001A6775">
            <w:pPr>
              <w:bidi w:val="0"/>
              <w:spacing w:after="0" w:afterAutospacing="1"/>
              <w:jc w:val="right"/>
              <w:rPr>
                <w:b w:val="0"/>
                <w:sz w:val="20"/>
              </w:rPr>
            </w:pPr>
            <w:r>
              <w:rPr>
                <w:b w:val="0"/>
                <w:sz w:val="20"/>
              </w:rPr>
              <w:t>+11,992</w:t>
            </w:r>
          </w:p>
        </w:tc>
        <w:tc>
          <w:tcPr>
            <w:vAlign w:val="center"/>
          </w:tcPr>
          <w:p w:rsidR="001A6775">
            <w:pPr>
              <w:bidi w:val="0"/>
              <w:spacing w:after="0" w:afterAutospacing="1"/>
              <w:jc w:val="right"/>
              <w:rPr>
                <w:b w:val="0"/>
                <w:sz w:val="20"/>
              </w:rPr>
            </w:pPr>
            <w:r>
              <w:rPr>
                <w:b w:val="0"/>
                <w:sz w:val="20"/>
              </w:rPr>
              <w:t>+1.99</w:t>
            </w:r>
          </w:p>
        </w:tc>
        <w:tc>
          <w:tcPr>
            <w:vAlign w:val="center"/>
          </w:tcPr>
          <w:p w:rsidR="001A6775">
            <w:pPr>
              <w:bidi w:val="0"/>
              <w:spacing w:after="0" w:afterAutospacing="1"/>
              <w:jc w:val="right"/>
              <w:rPr>
                <w:b w:val="0"/>
                <w:sz w:val="20"/>
              </w:rPr>
            </w:pPr>
            <w:r>
              <w:rPr>
                <w:b w:val="0"/>
                <w:sz w:val="20"/>
              </w:rPr>
              <w:t>+2.03</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right"/>
              <w:rPr>
                <w:b w:val="0"/>
                <w:sz w:val="20"/>
              </w:rPr>
            </w:pPr>
            <w:r>
              <w:rPr>
                <w:b w:val="0"/>
                <w:sz w:val="20"/>
              </w:rPr>
              <w:t>2020</w:t>
            </w:r>
          </w:p>
        </w:tc>
        <w:tc>
          <w:tcPr>
            <w:vAlign w:val="center"/>
          </w:tcPr>
          <w:p w:rsidR="001A6775">
            <w:pPr>
              <w:bidi w:val="0"/>
              <w:spacing w:after="0" w:afterAutospacing="1"/>
              <w:jc w:val="right"/>
              <w:rPr>
                <w:b w:val="0"/>
                <w:sz w:val="20"/>
              </w:rPr>
            </w:pPr>
            <w:r>
              <w:rPr>
                <w:b w:val="0"/>
                <w:sz w:val="20"/>
              </w:rPr>
              <w:t>626,342</w:t>
            </w:r>
          </w:p>
        </w:tc>
        <w:tc>
          <w:tcPr>
            <w:vAlign w:val="center"/>
          </w:tcPr>
          <w:p w:rsidR="001A6775">
            <w:pPr>
              <w:bidi w:val="0"/>
              <w:spacing w:after="0" w:afterAutospacing="1"/>
              <w:jc w:val="right"/>
              <w:rPr>
                <w:b w:val="0"/>
                <w:sz w:val="20"/>
              </w:rPr>
            </w:pPr>
            <w:r>
              <w:rPr>
                <w:b w:val="0"/>
                <w:sz w:val="20"/>
              </w:rPr>
              <w:t>+11,907</w:t>
            </w:r>
          </w:p>
        </w:tc>
        <w:tc>
          <w:tcPr>
            <w:vAlign w:val="center"/>
          </w:tcPr>
          <w:p w:rsidR="001A6775">
            <w:pPr>
              <w:bidi w:val="0"/>
              <w:spacing w:after="0" w:afterAutospacing="1"/>
              <w:jc w:val="right"/>
              <w:rPr>
                <w:b w:val="0"/>
                <w:sz w:val="20"/>
              </w:rPr>
            </w:pPr>
            <w:r>
              <w:rPr>
                <w:b w:val="0"/>
                <w:sz w:val="20"/>
              </w:rPr>
              <w:t>+1.94</w:t>
            </w:r>
          </w:p>
        </w:tc>
        <w:tc>
          <w:tcPr>
            <w:vAlign w:val="center"/>
          </w:tcPr>
          <w:p w:rsidR="001A6775">
            <w:pPr>
              <w:bidi w:val="0"/>
              <w:spacing w:after="0" w:afterAutospacing="1"/>
              <w:jc w:val="right"/>
              <w:rPr>
                <w:b w:val="0"/>
                <w:sz w:val="20"/>
              </w:rPr>
            </w:pPr>
            <w:r>
              <w:rPr>
                <w:b w:val="0"/>
                <w:sz w:val="20"/>
              </w:rPr>
              <w:t>+1.80</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right"/>
              <w:rPr>
                <w:b w:val="0"/>
                <w:sz w:val="20"/>
              </w:rPr>
            </w:pPr>
            <w:r>
              <w:rPr>
                <w:b w:val="0"/>
                <w:sz w:val="20"/>
              </w:rPr>
              <w:t>2021</w:t>
            </w:r>
          </w:p>
        </w:tc>
        <w:tc>
          <w:tcPr>
            <w:vAlign w:val="center"/>
          </w:tcPr>
          <w:p w:rsidR="001A6775">
            <w:pPr>
              <w:bidi w:val="0"/>
              <w:spacing w:after="0" w:afterAutospacing="1"/>
              <w:jc w:val="right"/>
              <w:rPr>
                <w:b w:val="0"/>
                <w:sz w:val="20"/>
              </w:rPr>
            </w:pPr>
            <w:r>
              <w:rPr>
                <w:b w:val="0"/>
                <w:sz w:val="20"/>
              </w:rPr>
              <w:t>633,598</w:t>
            </w:r>
          </w:p>
        </w:tc>
        <w:tc>
          <w:tcPr>
            <w:vAlign w:val="center"/>
          </w:tcPr>
          <w:p w:rsidR="001A6775">
            <w:pPr>
              <w:bidi w:val="0"/>
              <w:spacing w:after="0" w:afterAutospacing="1"/>
              <w:jc w:val="right"/>
              <w:rPr>
                <w:b w:val="0"/>
                <w:sz w:val="20"/>
              </w:rPr>
            </w:pPr>
            <w:r>
              <w:rPr>
                <w:b w:val="0"/>
                <w:sz w:val="20"/>
              </w:rPr>
              <w:t>+7,256</w:t>
            </w:r>
          </w:p>
        </w:tc>
        <w:tc>
          <w:tcPr>
            <w:vAlign w:val="center"/>
          </w:tcPr>
          <w:p w:rsidR="001A6775">
            <w:pPr>
              <w:bidi w:val="0"/>
              <w:spacing w:after="0" w:afterAutospacing="1"/>
              <w:jc w:val="right"/>
              <w:rPr>
                <w:b w:val="0"/>
                <w:sz w:val="20"/>
              </w:rPr>
            </w:pPr>
            <w:r>
              <w:rPr>
                <w:b w:val="0"/>
                <w:sz w:val="20"/>
              </w:rPr>
              <w:t>+1.16</w:t>
            </w:r>
          </w:p>
        </w:tc>
        <w:tc>
          <w:tcPr>
            <w:vAlign w:val="center"/>
          </w:tcPr>
          <w:p w:rsidR="001A6775">
            <w:pPr>
              <w:bidi w:val="0"/>
              <w:spacing w:after="0" w:afterAutospacing="1"/>
              <w:jc w:val="right"/>
              <w:rPr>
                <w:b w:val="0"/>
                <w:sz w:val="20"/>
              </w:rPr>
            </w:pPr>
            <w:r>
              <w:rPr>
                <w:b w:val="0"/>
                <w:sz w:val="20"/>
              </w:rPr>
              <w:t>+1.07</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right"/>
              <w:rPr>
                <w:b w:val="0"/>
                <w:sz w:val="20"/>
              </w:rPr>
            </w:pPr>
            <w:r>
              <w:rPr>
                <w:b w:val="0"/>
                <w:sz w:val="20"/>
              </w:rPr>
              <w:t>2022</w:t>
            </w:r>
          </w:p>
        </w:tc>
        <w:tc>
          <w:tcPr>
            <w:vAlign w:val="center"/>
          </w:tcPr>
          <w:p w:rsidR="001A6775">
            <w:pPr>
              <w:bidi w:val="0"/>
              <w:spacing w:after="0" w:afterAutospacing="1"/>
              <w:jc w:val="right"/>
              <w:rPr>
                <w:b w:val="0"/>
                <w:sz w:val="20"/>
              </w:rPr>
            </w:pPr>
            <w:r>
              <w:rPr>
                <w:b w:val="0"/>
                <w:sz w:val="20"/>
              </w:rPr>
              <w:t>647,178</w:t>
            </w:r>
          </w:p>
        </w:tc>
        <w:tc>
          <w:tcPr>
            <w:vAlign w:val="center"/>
          </w:tcPr>
          <w:p w:rsidR="001A6775">
            <w:pPr>
              <w:bidi w:val="0"/>
              <w:spacing w:after="0" w:afterAutospacing="1"/>
              <w:jc w:val="right"/>
              <w:rPr>
                <w:b w:val="0"/>
                <w:sz w:val="20"/>
              </w:rPr>
            </w:pPr>
            <w:r>
              <w:rPr>
                <w:b w:val="0"/>
                <w:sz w:val="20"/>
              </w:rPr>
              <w:t>+13,580</w:t>
            </w:r>
          </w:p>
        </w:tc>
        <w:tc>
          <w:tcPr>
            <w:vAlign w:val="center"/>
          </w:tcPr>
          <w:p w:rsidR="001A6775">
            <w:pPr>
              <w:bidi w:val="0"/>
              <w:spacing w:after="0" w:afterAutospacing="1"/>
              <w:jc w:val="right"/>
              <w:rPr>
                <w:b w:val="0"/>
                <w:sz w:val="20"/>
              </w:rPr>
            </w:pPr>
            <w:r>
              <w:rPr>
                <w:b w:val="0"/>
                <w:sz w:val="20"/>
              </w:rPr>
              <w:t>+2.14</w:t>
            </w:r>
          </w:p>
        </w:tc>
        <w:tc>
          <w:tcPr>
            <w:vAlign w:val="center"/>
          </w:tcPr>
          <w:p w:rsidR="001A6775">
            <w:pPr>
              <w:bidi w:val="0"/>
              <w:spacing w:after="0" w:afterAutospacing="1"/>
              <w:jc w:val="right"/>
              <w:rPr>
                <w:b w:val="0"/>
                <w:sz w:val="20"/>
              </w:rPr>
            </w:pPr>
            <w:r>
              <w:rPr>
                <w:b w:val="0"/>
                <w:sz w:val="20"/>
              </w:rPr>
              <w:t>+2.25</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right"/>
              <w:rPr>
                <w:b w:val="0"/>
                <w:sz w:val="20"/>
              </w:rPr>
            </w:pPr>
            <w:r>
              <w:rPr>
                <w:b w:val="0"/>
                <w:sz w:val="20"/>
              </w:rPr>
              <w:t>2023</w:t>
            </w:r>
          </w:p>
        </w:tc>
        <w:tc>
          <w:tcPr>
            <w:vAlign w:val="center"/>
          </w:tcPr>
          <w:p w:rsidR="001A6775">
            <w:pPr>
              <w:bidi w:val="0"/>
              <w:spacing w:after="0" w:afterAutospacing="1"/>
              <w:jc w:val="right"/>
              <w:rPr>
                <w:b w:val="0"/>
                <w:sz w:val="20"/>
              </w:rPr>
            </w:pPr>
            <w:r>
              <w:rPr>
                <w:b w:val="0"/>
                <w:sz w:val="20"/>
              </w:rPr>
              <w:t>666,087</w:t>
            </w:r>
          </w:p>
        </w:tc>
        <w:tc>
          <w:tcPr>
            <w:vAlign w:val="center"/>
          </w:tcPr>
          <w:p w:rsidR="001A6775">
            <w:pPr>
              <w:bidi w:val="0"/>
              <w:spacing w:after="0" w:afterAutospacing="1"/>
              <w:jc w:val="right"/>
              <w:rPr>
                <w:b w:val="0"/>
                <w:sz w:val="20"/>
              </w:rPr>
            </w:pPr>
            <w:r>
              <w:rPr>
                <w:b w:val="0"/>
                <w:sz w:val="20"/>
              </w:rPr>
              <w:t>+18,909</w:t>
            </w:r>
          </w:p>
        </w:tc>
        <w:tc>
          <w:tcPr>
            <w:vAlign w:val="center"/>
          </w:tcPr>
          <w:p w:rsidR="001A6775">
            <w:pPr>
              <w:bidi w:val="0"/>
              <w:spacing w:after="0" w:afterAutospacing="1"/>
              <w:jc w:val="right"/>
              <w:rPr>
                <w:b w:val="0"/>
                <w:sz w:val="20"/>
              </w:rPr>
            </w:pPr>
            <w:r>
              <w:rPr>
                <w:b w:val="0"/>
                <w:sz w:val="20"/>
              </w:rPr>
              <w:t>+2.92</w:t>
            </w:r>
          </w:p>
        </w:tc>
        <w:tc>
          <w:tcPr>
            <w:vAlign w:val="center"/>
          </w:tcPr>
          <w:p w:rsidR="001A6775">
            <w:pPr>
              <w:bidi w:val="0"/>
              <w:spacing w:after="0" w:afterAutospacing="1"/>
              <w:jc w:val="right"/>
              <w:rPr>
                <w:b w:val="0"/>
                <w:sz w:val="20"/>
              </w:rPr>
            </w:pPr>
            <w:r>
              <w:rPr>
                <w:b w:val="0"/>
                <w:sz w:val="20"/>
              </w:rPr>
              <w:t>+3.01</w:t>
            </w:r>
          </w:p>
        </w:tc>
      </w:tr>
    </w:tbl>
    <w:p w:rsidR="001A6775">
      <w:pPr>
        <w:bidi w:val="0"/>
        <w:spacing w:after="0" w:afterAutospacing="1"/>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height:286pt;width:481pt">
            <v:imagedata r:id="rId5" o:title=""/>
          </v:shape>
        </w:pict>
      </w:r>
    </w:p>
    <w:p w:rsidR="001A6775">
      <w:pPr>
        <w:bidi w:val="0"/>
        <w:spacing w:after="0" w:afterAutospacing="1"/>
        <w:jc w:val="center"/>
      </w:pPr>
      <w:r>
        <w:pict>
          <v:shape id="_x0000_i1026" type="#_x0000_t75" style="height:286pt;width:481pt">
            <v:imagedata r:id="rId6" o:title=""/>
          </v:shape>
        </w:pict>
      </w:r>
    </w:p>
    <w:p w:rsidR="001A6775">
      <w:pPr>
        <w:bidi w:val="0"/>
        <w:spacing w:after="0" w:afterAutospacing="1"/>
        <w:jc w:val="center"/>
      </w:pPr>
      <w:r>
        <w:pict>
          <v:shape id="_x0000_i1027" type="#_x0000_t75" style="height:286pt;width:481pt">
            <v:imagedata r:id="rId7" o:title=""/>
          </v:shape>
        </w:pict>
      </w:r>
    </w:p>
    <w:p w:rsidR="001A6775">
      <w:pPr>
        <w:bidi w:val="0"/>
        <w:spacing w:after="0" w:afterAutospacing="1"/>
        <w:jc w:val="center"/>
      </w:pPr>
    </w:p>
    <w:sectPr w:rsidSect="001A6775">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rsidRPr="003B2940" w:rsidP="003B294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clrSchemeMapping w:bg1="light1" w:t1="dark1" w:bg2="light2" w:t2="dark2" w:accent1="accent1" w:accent2="accent2" w:accent3="accent3" w:accent4="accent4" w:accent5="accent5" w:accent6="accent6" w:hyperlink="hyperlink" w:followedHyperlink="followedHyperlink"/>
  <w:proofState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775"/>
    <w:pPr>
      <w:spacing w:after="200" w:line="276" w:lineRule="auto"/>
    </w:pPr>
    <w:rPr>
      <w:sz w:val="22"/>
      <w:szCs w:val="22"/>
      <w:lang w:val="en-AU" w:eastAsia="en-US" w:bidi="ar-SA"/>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284D"/>
    <w:pPr>
      <w:tabs>
        <w:tab w:val="center" w:pos="4513"/>
        <w:tab w:val="right" w:pos="9026"/>
      </w:tabs>
    </w:pPr>
  </w:style>
  <w:style w:type="character" w:customStyle="1" w:styleId="HeaderChar">
    <w:name w:val="Header Char"/>
    <w:link w:val="Header"/>
    <w:uiPriority w:val="99"/>
    <w:rsid w:val="0032284D"/>
    <w:rPr>
      <w:sz w:val="22"/>
      <w:szCs w:val="22"/>
      <w:lang w:eastAsia="en-US"/>
    </w:rPr>
  </w:style>
  <w:style w:type="paragraph" w:styleId="Footer">
    <w:name w:val="footer"/>
    <w:basedOn w:val="Normal"/>
    <w:link w:val="FooterChar"/>
    <w:uiPriority w:val="99"/>
    <w:unhideWhenUsed/>
    <w:rsid w:val="0032284D"/>
    <w:pPr>
      <w:tabs>
        <w:tab w:val="center" w:pos="4513"/>
        <w:tab w:val="right" w:pos="9026"/>
      </w:tabs>
    </w:pPr>
  </w:style>
  <w:style w:type="character" w:customStyle="1" w:styleId="FooterChar">
    <w:name w:val="Footer Char"/>
    <w:link w:val="Footer"/>
    <w:uiPriority w:val="99"/>
    <w:rsid w:val="0032284D"/>
    <w:rPr>
      <w:sz w:val="22"/>
      <w:szCs w:val="22"/>
      <w:lang w:eastAsia="en-US"/>
    </w:rPr>
  </w:style>
  <w:style w:type="paragraph" w:styleId="NoSpacing">
    <w:name w:val="No Spacing"/>
    <w:link w:val="NoSpacingChar"/>
    <w:uiPriority w:val="1"/>
    <w:qFormat/>
    <w:rsid w:val="0032284D"/>
    <w:rPr>
      <w:rFonts w:eastAsia="Times New Roman"/>
      <w:sz w:val="22"/>
      <w:szCs w:val="22"/>
      <w:lang w:val="en-US" w:eastAsia="en-US" w:bidi="ar-SA"/>
    </w:rPr>
  </w:style>
  <w:style w:type="character" w:customStyle="1" w:styleId="NoSpacingChar">
    <w:name w:val="No Spacing Char"/>
    <w:link w:val="NoSpacing"/>
    <w:uiPriority w:val="1"/>
    <w:rsid w:val="0032284D"/>
    <w:rPr>
      <w:rFonts w:eastAsia="Times New Roman"/>
      <w:sz w:val="22"/>
      <w:szCs w:val="22"/>
      <w:lang w:val="en-US" w:eastAsia="en-US" w:bidi="ar-SA"/>
    </w:rPr>
  </w:style>
  <w:style w:type="table" w:styleId="TableGrid">
    <w:name w:val="Table Grid"/>
    <w:basedOn w:val="TableNormal"/>
    <w:uiPriority w:val="59"/>
    <w:rsid w:val="00B069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image" Target="media/image2.png" /><Relationship Id="rId7" Type="http://schemas.openxmlformats.org/officeDocument/2006/relationships/image" Target="media/image3.png" /><Relationship Id="rId8" Type="http://schemas.openxmlformats.org/officeDocument/2006/relationships/header" Target="header1.xml" /><Relationship Id="rId9" Type="http://schemas.openxmlformats.org/officeDocument/2006/relationships/header" Target="header2.xml" /></Relationships>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33F890-FBCA-42D9-8DC1-707CA905C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dc:creator>
  <cp:lastModifiedBy>Vinay Varghese</cp:lastModifiedBy>
  <cp:revision>6</cp:revision>
  <dcterms:created xsi:type="dcterms:W3CDTF">2012-04-17T02:09:00Z</dcterms:created>
  <dcterms:modified xsi:type="dcterms:W3CDTF">2014-05-08T01:06:00Z</dcterms:modified>
</cp:coreProperties>
</file>