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Eastern Metropolitan Regional Council</w:t>
      </w:r>
    </w:p>
    <w:p w:rsidR="001A6775">
      <w:pPr>
        <w:pStyle w:val="Heading4"/>
        <w:bidi w:val="0"/>
        <w:spacing w:after="280" w:afterAutospacing="1"/>
      </w:pPr>
      <w:r>
        <w:rPr>
          <w:rtl w:val="0"/>
        </w:rPr>
        <w:t>Workers' place of residence</w:t>
      </w:r>
    </w:p>
    <w:p w:rsidR="001A6775">
      <w:pPr>
        <w:bidi w:val="0"/>
        <w:spacing w:after="280" w:afterAutospacing="1"/>
      </w:pPr>
      <w:r>
        <w:rPr>
          <w:rtl w:val="0"/>
        </w:rPr>
        <w:t xml:space="preserve">Where does the EMRC area's workforce come from? Journey to Work data sheds light on how many workers live locally, how many commute from other areas and which areas they commute from.  Some areas attract a large external workforce because they have major employment centres or because local residents have a different set of skills or aspirations than the local jobs require. Understanding where workers reside assists in planning and advocacy for roads and public transport provision. It also helps to clarify economic and employment drivers across areas and assists in understanding the degree to which the EMRC area provides local employment. </w:t>
      </w:r>
    </w:p>
    <w:p w:rsidR="001A6775">
      <w:pPr>
        <w:bidi w:val="0"/>
        <w:spacing w:after="280" w:afterAutospacing="1"/>
      </w:pPr>
      <w:r>
        <w:rPr>
          <w:b/>
          <w:bCs/>
          <w:rtl w:val="0"/>
        </w:rPr>
        <w:t>Please note:</w:t>
      </w:r>
      <w:r>
        <w:rPr>
          <w:rtl w:val="0"/>
        </w:rPr>
        <w:t xml:space="preserve"> Although this page references the Developing East Arnhem area, the data given is based on the East Arnhem LGA.</w: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Residential location of local workers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EMRC area</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Location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and work in the area</w:t>
            </w:r>
          </w:p>
        </w:tc>
        <w:tc>
          <w:tcPr>
            <w:vAlign w:val="center"/>
          </w:tcPr>
          <w:p w:rsidR="001A6775">
            <w:pPr>
              <w:bidi w:val="0"/>
              <w:spacing w:after="0" w:afterAutospacing="1"/>
              <w:jc w:val="right"/>
              <w:rPr>
                <w:b w:val="0"/>
                <w:sz w:val="20"/>
              </w:rPr>
            </w:pPr>
            <w:r>
              <w:rPr>
                <w:b w:val="0"/>
                <w:sz w:val="20"/>
              </w:rPr>
              <w:t>51,495</w:t>
            </w:r>
          </w:p>
        </w:tc>
        <w:tc>
          <w:tcPr>
            <w:vAlign w:val="center"/>
          </w:tcPr>
          <w:p w:rsidR="001A6775">
            <w:pPr>
              <w:bidi w:val="0"/>
              <w:spacing w:after="0" w:afterAutospacing="1"/>
              <w:jc w:val="right"/>
              <w:rPr>
                <w:b w:val="0"/>
                <w:sz w:val="20"/>
              </w:rPr>
            </w:pPr>
            <w:r>
              <w:rPr>
                <w:b w:val="0"/>
                <w:sz w:val="20"/>
              </w:rPr>
              <w:t>51.0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and work in the same LGA</w:t>
            </w:r>
          </w:p>
        </w:tc>
        <w:tc>
          <w:tcPr>
            <w:vAlign w:val="center"/>
          </w:tcPr>
          <w:p w:rsidR="001A6775">
            <w:pPr>
              <w:bidi w:val="0"/>
              <w:spacing w:after="0" w:afterAutospacing="1"/>
              <w:jc w:val="right"/>
              <w:rPr>
                <w:b w:val="0"/>
                <w:sz w:val="20"/>
              </w:rPr>
            </w:pPr>
            <w:r>
              <w:rPr>
                <w:b w:val="0"/>
                <w:sz w:val="20"/>
              </w:rPr>
              <w:t>35,181</w:t>
            </w:r>
          </w:p>
        </w:tc>
        <w:tc>
          <w:tcPr>
            <w:vAlign w:val="center"/>
          </w:tcPr>
          <w:p w:rsidR="001A6775">
            <w:pPr>
              <w:bidi w:val="0"/>
              <w:spacing w:after="0" w:afterAutospacing="1"/>
              <w:jc w:val="right"/>
              <w:rPr>
                <w:b w:val="0"/>
                <w:sz w:val="20"/>
              </w:rPr>
            </w:pPr>
            <w:r>
              <w:rPr>
                <w:b w:val="0"/>
                <w:sz w:val="20"/>
              </w:rPr>
              <w:t>34.8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Work in but live outside in a different LGA</w:t>
            </w:r>
          </w:p>
        </w:tc>
        <w:tc>
          <w:tcPr>
            <w:vAlign w:val="center"/>
          </w:tcPr>
          <w:p w:rsidR="001A6775">
            <w:pPr>
              <w:bidi w:val="0"/>
              <w:spacing w:after="0" w:afterAutospacing="1"/>
              <w:jc w:val="right"/>
              <w:rPr>
                <w:b w:val="0"/>
                <w:sz w:val="20"/>
              </w:rPr>
            </w:pPr>
            <w:r>
              <w:rPr>
                <w:b w:val="0"/>
                <w:sz w:val="20"/>
              </w:rPr>
              <w:t>16,314</w:t>
            </w:r>
          </w:p>
        </w:tc>
        <w:tc>
          <w:tcPr>
            <w:vAlign w:val="center"/>
          </w:tcPr>
          <w:p w:rsidR="001A6775">
            <w:pPr>
              <w:bidi w:val="0"/>
              <w:spacing w:after="0" w:afterAutospacing="1"/>
              <w:jc w:val="right"/>
              <w:rPr>
                <w:b w:val="0"/>
                <w:sz w:val="20"/>
              </w:rPr>
            </w:pPr>
            <w:r>
              <w:rPr>
                <w:b w:val="0"/>
                <w:sz w:val="20"/>
              </w:rPr>
              <w:t>16.1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Work in the area, but live outside</w:t>
            </w:r>
          </w:p>
        </w:tc>
        <w:tc>
          <w:tcPr>
            <w:vAlign w:val="center"/>
          </w:tcPr>
          <w:p w:rsidR="001A6775">
            <w:pPr>
              <w:bidi w:val="0"/>
              <w:spacing w:after="0" w:afterAutospacing="1"/>
              <w:jc w:val="right"/>
              <w:rPr>
                <w:b w:val="0"/>
                <w:sz w:val="20"/>
              </w:rPr>
            </w:pPr>
            <w:r>
              <w:rPr>
                <w:b w:val="0"/>
                <w:sz w:val="20"/>
              </w:rPr>
              <w:t>49,562</w:t>
            </w:r>
          </w:p>
        </w:tc>
        <w:tc>
          <w:tcPr>
            <w:vAlign w:val="center"/>
          </w:tcPr>
          <w:p w:rsidR="001A6775">
            <w:pPr>
              <w:bidi w:val="0"/>
              <w:spacing w:after="0" w:afterAutospacing="1"/>
              <w:jc w:val="right"/>
              <w:rPr>
                <w:b w:val="0"/>
                <w:sz w:val="20"/>
              </w:rPr>
            </w:pPr>
            <w:r>
              <w:rPr>
                <w:b w:val="0"/>
                <w:sz w:val="20"/>
              </w:rPr>
              <w:t>49.0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w:t>
            </w:r>
          </w:p>
        </w:tc>
        <w:tc>
          <w:tcPr>
            <w:vAlign w:val="center"/>
          </w:tcPr>
          <w:p w:rsidR="001A6775">
            <w:pPr>
              <w:bidi w:val="0"/>
              <w:spacing w:after="0" w:afterAutospacing="1"/>
              <w:jc w:val="right"/>
              <w:rPr>
                <w:b/>
                <w:sz w:val="20"/>
              </w:rPr>
            </w:pPr>
            <w:r>
              <w:rPr>
                <w:b/>
                <w:sz w:val="20"/>
              </w:rPr>
              <w:t>101,057</w:t>
            </w:r>
          </w:p>
        </w:tc>
        <w:tc>
          <w:tcPr>
            <w:vAlign w:val="center"/>
          </w:tcPr>
          <w:p w:rsidR="001A6775">
            <w:pPr>
              <w:bidi w:val="0"/>
              <w:spacing w:after="0" w:afterAutospacing="1"/>
              <w:jc w:val="right"/>
              <w:rPr>
                <w:b/>
                <w:sz w:val="20"/>
              </w:rPr>
            </w:pPr>
            <w:r>
              <w:rPr>
                <w:b/>
                <w:sz w:val="20"/>
              </w:rPr>
              <w:t>100.0</w:t>
            </w:r>
          </w:p>
        </w:tc>
      </w:tr>
    </w:tbl>
    <w:p>
      <w:pPr>
        <w:bidi w:val="0"/>
        <w:spacing w:after="0" w:afterAutospacing="1"/>
        <w:jc w:val="center"/>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95pt;width:260pt">
            <v:imagedata r:id="rId5" o:title=""/>
          </v:shape>
        </w:pic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tl w:val="0"/>
              </w:rPr>
            </w:pPr>
            <w:r>
              <w:rPr>
                <w:b/>
                <w:sz w:val="30"/>
                <w:rtl w:val="0"/>
              </w:rPr>
              <w:t>Residential location of local workers by LGA</w:t>
            </w:r>
          </w:p>
        </w:tc>
        <w:tc>
          <w:tcPr>
            <w:hMerge/>
          </w:tcPr>
          <w:p>
            <w:pPr>
              <w:bidi w:val="0"/>
              <w:spacing w:after="0" w:afterAutospacing="1"/>
              <w:jc w:val="left"/>
              <w:rPr>
                <w:b/>
                <w:sz w:val="30"/>
                <w:rtl w:val="0"/>
              </w:rPr>
            </w:pPr>
          </w:p>
        </w:tc>
        <w:tc>
          <w:tcPr>
            <w:hMerge/>
          </w:tcPr>
          <w:p>
            <w:pPr>
              <w:bidi w:val="0"/>
              <w:spacing w:after="0" w:afterAutospacing="1"/>
              <w:jc w:val="left"/>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pPr>
              <w:bidi w:val="0"/>
              <w:spacing w:after="0" w:afterAutospacing="1"/>
              <w:jc w:val="left"/>
              <w:rPr>
                <w:b/>
                <w:sz w:val="30"/>
                <w:rtl w:val="0"/>
              </w:rPr>
            </w:pPr>
            <w:r>
              <w:rPr>
                <w:b/>
                <w:sz w:val="20"/>
                <w:rtl w:val="0"/>
              </w:rPr>
              <w:t>EMRC area</w:t>
            </w:r>
          </w:p>
        </w:tc>
        <w:tc>
          <w:tcPr>
            <w:hMerge w:val="restart"/>
          </w:tcPr>
          <w:p>
            <w:pPr>
              <w:bidi w:val="0"/>
              <w:spacing w:after="0" w:afterAutospacing="1"/>
              <w:jc w:val="center"/>
              <w:rPr>
                <w:b/>
                <w:sz w:val="20"/>
                <w:rtl w:val="0"/>
              </w:rPr>
            </w:pPr>
            <w:r>
              <w:rPr>
                <w:b/>
                <w:sz w:val="30"/>
                <w:rtl w:val="0"/>
              </w:rPr>
              <w:t>2021</w:t>
            </w:r>
          </w:p>
        </w:tc>
        <w:tc>
          <w:tcPr>
            <w:hMerge/>
          </w:tcPr>
          <w:p>
            <w:pPr>
              <w:bidi w:val="0"/>
              <w:spacing w:after="0" w:afterAutospacing="1"/>
              <w:jc w:val="center"/>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tl w:val="0"/>
              </w:rPr>
            </w:pPr>
            <w:r>
              <w:rPr>
                <w:b/>
                <w:sz w:val="20"/>
                <w:rtl w:val="0"/>
              </w:rPr>
              <w:t>LGA</w:t>
            </w:r>
          </w:p>
        </w:tc>
        <w:tc>
          <w:tcPr>
            <w:vAlign w:val="center"/>
          </w:tcPr>
          <w:p>
            <w:pPr>
              <w:bidi w:val="0"/>
              <w:spacing w:after="0" w:afterAutospacing="1"/>
              <w:jc w:val="right"/>
              <w:rPr>
                <w:b/>
                <w:sz w:val="20"/>
                <w:rtl w:val="0"/>
              </w:rPr>
            </w:pPr>
            <w:r>
              <w:rPr>
                <w:b/>
                <w:sz w:val="20"/>
                <w:rtl w:val="0"/>
              </w:rPr>
              <w:t>Number</w:t>
            </w:r>
          </w:p>
        </w:tc>
        <w:tc>
          <w:tcPr>
            <w:vAlign w:val="center"/>
          </w:tcPr>
          <w:p>
            <w:pPr>
              <w:bidi w:val="0"/>
              <w:spacing w:after="0" w:afterAutospacing="1"/>
              <w:jc w:val="right"/>
              <w:rPr>
                <w:b/>
                <w:sz w:val="20"/>
                <w:rtl w:val="0"/>
              </w:rPr>
            </w:pPr>
            <w:r>
              <w:rPr>
                <w:b/>
                <w:sz w:val="20"/>
                <w:rtl w:val="0"/>
              </w:rPr>
              <w:t>Percentage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Swan</w:t>
            </w:r>
          </w:p>
        </w:tc>
        <w:tc>
          <w:tcPr>
            <w:vAlign w:val="center"/>
          </w:tcPr>
          <w:p>
            <w:pPr>
              <w:bidi w:val="0"/>
              <w:spacing w:after="0" w:afterAutospacing="1"/>
              <w:jc w:val="right"/>
              <w:rPr>
                <w:b w:val="0"/>
                <w:sz w:val="20"/>
                <w:rtl w:val="0"/>
              </w:rPr>
            </w:pPr>
            <w:r>
              <w:rPr>
                <w:b w:val="0"/>
                <w:sz w:val="20"/>
                <w:rtl w:val="0"/>
              </w:rPr>
              <w:t>30,776</w:t>
            </w:r>
          </w:p>
        </w:tc>
        <w:tc>
          <w:tcPr>
            <w:vAlign w:val="center"/>
          </w:tcPr>
          <w:p>
            <w:pPr>
              <w:bidi w:val="0"/>
              <w:spacing w:after="0" w:afterAutospacing="1"/>
              <w:jc w:val="right"/>
              <w:rPr>
                <w:b w:val="0"/>
                <w:sz w:val="20"/>
                <w:rtl w:val="0"/>
              </w:rPr>
            </w:pPr>
            <w:r>
              <w:rPr>
                <w:b w:val="0"/>
                <w:sz w:val="20"/>
                <w:rtl w:val="0"/>
              </w:rPr>
              <w:t>30.5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Stirling</w:t>
            </w:r>
          </w:p>
        </w:tc>
        <w:tc>
          <w:tcPr>
            <w:vAlign w:val="center"/>
          </w:tcPr>
          <w:p>
            <w:pPr>
              <w:bidi w:val="0"/>
              <w:spacing w:after="0" w:afterAutospacing="1"/>
              <w:jc w:val="right"/>
              <w:rPr>
                <w:b w:val="0"/>
                <w:sz w:val="20"/>
                <w:rtl w:val="0"/>
              </w:rPr>
            </w:pPr>
            <w:r>
              <w:rPr>
                <w:b w:val="0"/>
                <w:sz w:val="20"/>
                <w:rtl w:val="0"/>
              </w:rPr>
              <w:t>9,885</w:t>
            </w:r>
          </w:p>
        </w:tc>
        <w:tc>
          <w:tcPr>
            <w:vAlign w:val="center"/>
          </w:tcPr>
          <w:p>
            <w:pPr>
              <w:bidi w:val="0"/>
              <w:spacing w:after="0" w:afterAutospacing="1"/>
              <w:jc w:val="right"/>
              <w:rPr>
                <w:b w:val="0"/>
                <w:sz w:val="20"/>
                <w:rtl w:val="0"/>
              </w:rPr>
            </w:pPr>
            <w:r>
              <w:rPr>
                <w:b w:val="0"/>
                <w:sz w:val="20"/>
                <w:rtl w:val="0"/>
              </w:rPr>
              <w:t>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Bayswater</w:t>
            </w:r>
          </w:p>
        </w:tc>
        <w:tc>
          <w:tcPr>
            <w:vAlign w:val="center"/>
          </w:tcPr>
          <w:p>
            <w:pPr>
              <w:bidi w:val="0"/>
              <w:spacing w:after="0" w:afterAutospacing="1"/>
              <w:jc w:val="right"/>
              <w:rPr>
                <w:b w:val="0"/>
                <w:sz w:val="20"/>
                <w:rtl w:val="0"/>
              </w:rPr>
            </w:pPr>
            <w:r>
              <w:rPr>
                <w:b w:val="0"/>
                <w:sz w:val="20"/>
                <w:rtl w:val="0"/>
              </w:rPr>
              <w:t>9,550</w:t>
            </w:r>
          </w:p>
        </w:tc>
        <w:tc>
          <w:tcPr>
            <w:vAlign w:val="center"/>
          </w:tcPr>
          <w:p>
            <w:pPr>
              <w:bidi w:val="0"/>
              <w:spacing w:after="0" w:afterAutospacing="1"/>
              <w:jc w:val="right"/>
              <w:rPr>
                <w:b w:val="0"/>
                <w:sz w:val="20"/>
                <w:rtl w:val="0"/>
              </w:rPr>
            </w:pPr>
            <w:r>
              <w:rPr>
                <w:b w:val="0"/>
                <w:sz w:val="20"/>
                <w:rtl w:val="0"/>
              </w:rPr>
              <w:t>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Wanneroo</w:t>
            </w:r>
          </w:p>
        </w:tc>
        <w:tc>
          <w:tcPr>
            <w:vAlign w:val="center"/>
          </w:tcPr>
          <w:p>
            <w:pPr>
              <w:bidi w:val="0"/>
              <w:spacing w:after="0" w:afterAutospacing="1"/>
              <w:jc w:val="right"/>
              <w:rPr>
                <w:b w:val="0"/>
                <w:sz w:val="20"/>
                <w:rtl w:val="0"/>
              </w:rPr>
            </w:pPr>
            <w:r>
              <w:rPr>
                <w:b w:val="0"/>
                <w:sz w:val="20"/>
                <w:rtl w:val="0"/>
              </w:rPr>
              <w:t>9,124</w:t>
            </w:r>
          </w:p>
        </w:tc>
        <w:tc>
          <w:tcPr>
            <w:vAlign w:val="center"/>
          </w:tcPr>
          <w:p>
            <w:pPr>
              <w:bidi w:val="0"/>
              <w:spacing w:after="0" w:afterAutospacing="1"/>
              <w:jc w:val="right"/>
              <w:rPr>
                <w:b w:val="0"/>
                <w:sz w:val="20"/>
                <w:rtl w:val="0"/>
              </w:rPr>
            </w:pPr>
            <w:r>
              <w:rPr>
                <w:b w:val="0"/>
                <w:sz w:val="20"/>
                <w:rtl w:val="0"/>
              </w:rPr>
              <w:t>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Mundaring</w:t>
            </w:r>
          </w:p>
        </w:tc>
        <w:tc>
          <w:tcPr>
            <w:vAlign w:val="center"/>
          </w:tcPr>
          <w:p>
            <w:pPr>
              <w:bidi w:val="0"/>
              <w:spacing w:after="0" w:afterAutospacing="1"/>
              <w:jc w:val="right"/>
              <w:rPr>
                <w:b w:val="0"/>
                <w:sz w:val="20"/>
                <w:rtl w:val="0"/>
              </w:rPr>
            </w:pPr>
            <w:r>
              <w:rPr>
                <w:b w:val="0"/>
                <w:sz w:val="20"/>
                <w:rtl w:val="0"/>
              </w:rPr>
              <w:t>8,443</w:t>
            </w:r>
          </w:p>
        </w:tc>
        <w:tc>
          <w:tcPr>
            <w:vAlign w:val="center"/>
          </w:tcPr>
          <w:p>
            <w:pPr>
              <w:bidi w:val="0"/>
              <w:spacing w:after="0" w:afterAutospacing="1"/>
              <w:jc w:val="right"/>
              <w:rPr>
                <w:b w:val="0"/>
                <w:sz w:val="20"/>
                <w:rtl w:val="0"/>
              </w:rPr>
            </w:pPr>
            <w:r>
              <w:rPr>
                <w:b w:val="0"/>
                <w:sz w:val="20"/>
                <w:rtl w:val="0"/>
              </w:rPr>
              <w:t>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Joondalup</w:t>
            </w:r>
          </w:p>
        </w:tc>
        <w:tc>
          <w:tcPr>
            <w:vAlign w:val="center"/>
          </w:tcPr>
          <w:p>
            <w:pPr>
              <w:bidi w:val="0"/>
              <w:spacing w:after="0" w:afterAutospacing="1"/>
              <w:jc w:val="right"/>
              <w:rPr>
                <w:b w:val="0"/>
                <w:sz w:val="20"/>
                <w:rtl w:val="0"/>
              </w:rPr>
            </w:pPr>
            <w:r>
              <w:rPr>
                <w:b w:val="0"/>
                <w:sz w:val="20"/>
                <w:rtl w:val="0"/>
              </w:rPr>
              <w:t>5,169</w:t>
            </w:r>
          </w:p>
        </w:tc>
        <w:tc>
          <w:tcPr>
            <w:vAlign w:val="center"/>
          </w:tcPr>
          <w:p>
            <w:pPr>
              <w:bidi w:val="0"/>
              <w:spacing w:after="0" w:afterAutospacing="1"/>
              <w:jc w:val="right"/>
              <w:rPr>
                <w:b w:val="0"/>
                <w:sz w:val="20"/>
                <w:rtl w:val="0"/>
              </w:rPr>
            </w:pPr>
            <w:r>
              <w:rPr>
                <w:b w:val="0"/>
                <w:sz w:val="20"/>
                <w:rtl w:val="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Kalamunda</w:t>
            </w:r>
          </w:p>
        </w:tc>
        <w:tc>
          <w:tcPr>
            <w:vAlign w:val="center"/>
          </w:tcPr>
          <w:p>
            <w:pPr>
              <w:bidi w:val="0"/>
              <w:spacing w:after="0" w:afterAutospacing="1"/>
              <w:jc w:val="right"/>
              <w:rPr>
                <w:b w:val="0"/>
                <w:sz w:val="20"/>
                <w:rtl w:val="0"/>
              </w:rPr>
            </w:pPr>
            <w:r>
              <w:rPr>
                <w:b w:val="0"/>
                <w:sz w:val="20"/>
                <w:rtl w:val="0"/>
              </w:rPr>
              <w:t>4,256</w:t>
            </w:r>
          </w:p>
        </w:tc>
        <w:tc>
          <w:tcPr>
            <w:vAlign w:val="center"/>
          </w:tcPr>
          <w:p>
            <w:pPr>
              <w:bidi w:val="0"/>
              <w:spacing w:after="0" w:afterAutospacing="1"/>
              <w:jc w:val="right"/>
              <w:rPr>
                <w:b w:val="0"/>
                <w:sz w:val="20"/>
                <w:rtl w:val="0"/>
              </w:rPr>
            </w:pPr>
            <w:r>
              <w:rPr>
                <w:b w:val="0"/>
                <w:sz w:val="20"/>
                <w:rtl w:val="0"/>
              </w:rPr>
              <w:t>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Gosnells</w:t>
            </w:r>
          </w:p>
        </w:tc>
        <w:tc>
          <w:tcPr>
            <w:vAlign w:val="center"/>
          </w:tcPr>
          <w:p>
            <w:pPr>
              <w:bidi w:val="0"/>
              <w:spacing w:after="0" w:afterAutospacing="1"/>
              <w:jc w:val="right"/>
              <w:rPr>
                <w:b w:val="0"/>
                <w:sz w:val="20"/>
                <w:rtl w:val="0"/>
              </w:rPr>
            </w:pPr>
            <w:r>
              <w:rPr>
                <w:b w:val="0"/>
                <w:sz w:val="20"/>
                <w:rtl w:val="0"/>
              </w:rPr>
              <w:t>3,079</w:t>
            </w:r>
          </w:p>
        </w:tc>
        <w:tc>
          <w:tcPr>
            <w:vAlign w:val="center"/>
          </w:tcPr>
          <w:p>
            <w:pPr>
              <w:bidi w:val="0"/>
              <w:spacing w:after="0" w:afterAutospacing="1"/>
              <w:jc w:val="right"/>
              <w:rPr>
                <w:b w:val="0"/>
                <w:sz w:val="20"/>
                <w:rtl w:val="0"/>
              </w:rPr>
            </w:pPr>
            <w:r>
              <w:rPr>
                <w:b w:val="0"/>
                <w:sz w:val="20"/>
                <w:rtl w:val="0"/>
              </w:rPr>
              <w:t>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Bassendean</w:t>
            </w:r>
          </w:p>
        </w:tc>
        <w:tc>
          <w:tcPr>
            <w:vAlign w:val="center"/>
          </w:tcPr>
          <w:p>
            <w:pPr>
              <w:bidi w:val="0"/>
              <w:spacing w:after="0" w:afterAutospacing="1"/>
              <w:jc w:val="right"/>
              <w:rPr>
                <w:b w:val="0"/>
                <w:sz w:val="20"/>
                <w:rtl w:val="0"/>
              </w:rPr>
            </w:pPr>
            <w:r>
              <w:rPr>
                <w:b w:val="0"/>
                <w:sz w:val="20"/>
                <w:rtl w:val="0"/>
              </w:rPr>
              <w:t>2,726</w:t>
            </w:r>
          </w:p>
        </w:tc>
        <w:tc>
          <w:tcPr>
            <w:vAlign w:val="center"/>
          </w:tcPr>
          <w:p>
            <w:pPr>
              <w:bidi w:val="0"/>
              <w:spacing w:after="0" w:afterAutospacing="1"/>
              <w:jc w:val="right"/>
              <w:rPr>
                <w:b w:val="0"/>
                <w:sz w:val="20"/>
                <w:rtl w:val="0"/>
              </w:rPr>
            </w:pPr>
            <w:r>
              <w:rPr>
                <w:b w:val="0"/>
                <w:sz w:val="20"/>
                <w:rtl w:val="0"/>
              </w:rPr>
              <w:t>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Canning</w:t>
            </w:r>
          </w:p>
        </w:tc>
        <w:tc>
          <w:tcPr>
            <w:vAlign w:val="center"/>
          </w:tcPr>
          <w:p>
            <w:pPr>
              <w:bidi w:val="0"/>
              <w:spacing w:after="0" w:afterAutospacing="1"/>
              <w:jc w:val="right"/>
              <w:rPr>
                <w:b w:val="0"/>
                <w:sz w:val="20"/>
                <w:rtl w:val="0"/>
              </w:rPr>
            </w:pPr>
            <w:r>
              <w:rPr>
                <w:b w:val="0"/>
                <w:sz w:val="20"/>
                <w:rtl w:val="0"/>
              </w:rPr>
              <w:t>2,166</w:t>
            </w:r>
          </w:p>
        </w:tc>
        <w:tc>
          <w:tcPr>
            <w:vAlign w:val="center"/>
          </w:tcPr>
          <w:p>
            <w:pPr>
              <w:bidi w:val="0"/>
              <w:spacing w:after="0" w:afterAutospacing="1"/>
              <w:jc w:val="right"/>
              <w:rPr>
                <w:b w:val="0"/>
                <w:sz w:val="20"/>
                <w:rtl w:val="0"/>
              </w:rPr>
            </w:pPr>
            <w:r>
              <w:rPr>
                <w:b w:val="0"/>
                <w:sz w:val="20"/>
                <w:rtl w:val="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Armadale</w:t>
            </w:r>
          </w:p>
        </w:tc>
        <w:tc>
          <w:tcPr>
            <w:vAlign w:val="center"/>
          </w:tcPr>
          <w:p>
            <w:pPr>
              <w:bidi w:val="0"/>
              <w:spacing w:after="0" w:afterAutospacing="1"/>
              <w:jc w:val="right"/>
              <w:rPr>
                <w:b w:val="0"/>
                <w:sz w:val="20"/>
                <w:rtl w:val="0"/>
              </w:rPr>
            </w:pPr>
            <w:r>
              <w:rPr>
                <w:b w:val="0"/>
                <w:sz w:val="20"/>
                <w:rtl w:val="0"/>
              </w:rPr>
              <w:t>2,072</w:t>
            </w:r>
          </w:p>
        </w:tc>
        <w:tc>
          <w:tcPr>
            <w:vAlign w:val="center"/>
          </w:tcPr>
          <w:p>
            <w:pPr>
              <w:bidi w:val="0"/>
              <w:spacing w:after="0" w:afterAutospacing="1"/>
              <w:jc w:val="right"/>
              <w:rPr>
                <w:b w:val="0"/>
                <w:sz w:val="20"/>
                <w:rtl w:val="0"/>
              </w:rPr>
            </w:pPr>
            <w:r>
              <w:rPr>
                <w:b w:val="0"/>
                <w:sz w:val="20"/>
                <w:rtl w:val="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Belmont</w:t>
            </w:r>
          </w:p>
        </w:tc>
        <w:tc>
          <w:tcPr>
            <w:vAlign w:val="center"/>
          </w:tcPr>
          <w:p>
            <w:pPr>
              <w:bidi w:val="0"/>
              <w:spacing w:after="0" w:afterAutospacing="1"/>
              <w:jc w:val="right"/>
              <w:rPr>
                <w:b w:val="0"/>
                <w:sz w:val="20"/>
                <w:rtl w:val="0"/>
              </w:rPr>
            </w:pPr>
            <w:r>
              <w:rPr>
                <w:b w:val="0"/>
                <w:sz w:val="20"/>
                <w:rtl w:val="0"/>
              </w:rPr>
              <w:t>1,946</w:t>
            </w:r>
          </w:p>
        </w:tc>
        <w:tc>
          <w:tcPr>
            <w:vAlign w:val="center"/>
          </w:tcPr>
          <w:p>
            <w:pPr>
              <w:bidi w:val="0"/>
              <w:spacing w:after="0" w:afterAutospacing="1"/>
              <w:jc w:val="right"/>
              <w:rPr>
                <w:b w:val="0"/>
                <w:sz w:val="20"/>
                <w:rtl w:val="0"/>
              </w:rPr>
            </w:pPr>
            <w:r>
              <w:rPr>
                <w:b w:val="0"/>
                <w:sz w:val="20"/>
                <w:rtl w:val="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Cockburn</w:t>
            </w:r>
          </w:p>
        </w:tc>
        <w:tc>
          <w:tcPr>
            <w:vAlign w:val="center"/>
          </w:tcPr>
          <w:p>
            <w:pPr>
              <w:bidi w:val="0"/>
              <w:spacing w:after="0" w:afterAutospacing="1"/>
              <w:jc w:val="right"/>
              <w:rPr>
                <w:b w:val="0"/>
                <w:sz w:val="20"/>
                <w:rtl w:val="0"/>
              </w:rPr>
            </w:pPr>
            <w:r>
              <w:rPr>
                <w:b w:val="0"/>
                <w:sz w:val="20"/>
                <w:rtl w:val="0"/>
              </w:rPr>
              <w:t>1,369</w:t>
            </w:r>
          </w:p>
        </w:tc>
        <w:tc>
          <w:tcPr>
            <w:vAlign w:val="center"/>
          </w:tcPr>
          <w:p>
            <w:pPr>
              <w:bidi w:val="0"/>
              <w:spacing w:after="0" w:afterAutospacing="1"/>
              <w:jc w:val="right"/>
              <w:rPr>
                <w:b w:val="0"/>
                <w:sz w:val="20"/>
                <w:rtl w:val="0"/>
              </w:rPr>
            </w:pPr>
            <w:r>
              <w:rPr>
                <w:b w:val="0"/>
                <w:sz w:val="20"/>
                <w:rtl w:val="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Melville</w:t>
            </w:r>
          </w:p>
        </w:tc>
        <w:tc>
          <w:tcPr>
            <w:vAlign w:val="center"/>
          </w:tcPr>
          <w:p>
            <w:pPr>
              <w:bidi w:val="0"/>
              <w:spacing w:after="0" w:afterAutospacing="1"/>
              <w:jc w:val="right"/>
              <w:rPr>
                <w:b w:val="0"/>
                <w:sz w:val="20"/>
                <w:rtl w:val="0"/>
              </w:rPr>
            </w:pPr>
            <w:r>
              <w:rPr>
                <w:b w:val="0"/>
                <w:sz w:val="20"/>
                <w:rtl w:val="0"/>
              </w:rPr>
              <w:t>1,175</w:t>
            </w:r>
          </w:p>
        </w:tc>
        <w:tc>
          <w:tcPr>
            <w:vAlign w:val="center"/>
          </w:tcPr>
          <w:p>
            <w:pPr>
              <w:bidi w:val="0"/>
              <w:spacing w:after="0" w:afterAutospacing="1"/>
              <w:jc w:val="right"/>
              <w:rPr>
                <w:b w:val="0"/>
                <w:sz w:val="20"/>
                <w:rtl w:val="0"/>
              </w:rPr>
            </w:pPr>
            <w:r>
              <w:rPr>
                <w:b w:val="0"/>
                <w:sz w:val="20"/>
                <w:rtl w:val="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Vincent</w:t>
            </w:r>
          </w:p>
        </w:tc>
        <w:tc>
          <w:tcPr>
            <w:vAlign w:val="center"/>
          </w:tcPr>
          <w:p>
            <w:pPr>
              <w:bidi w:val="0"/>
              <w:spacing w:after="0" w:afterAutospacing="1"/>
              <w:jc w:val="right"/>
              <w:rPr>
                <w:b w:val="0"/>
                <w:sz w:val="20"/>
                <w:rtl w:val="0"/>
              </w:rPr>
            </w:pPr>
            <w:r>
              <w:rPr>
                <w:b w:val="0"/>
                <w:sz w:val="20"/>
                <w:rtl w:val="0"/>
              </w:rPr>
              <w:t>1,143</w:t>
            </w:r>
          </w:p>
        </w:tc>
        <w:tc>
          <w:tcPr>
            <w:vAlign w:val="center"/>
          </w:tcPr>
          <w:p>
            <w:pPr>
              <w:bidi w:val="0"/>
              <w:spacing w:after="0" w:afterAutospacing="1"/>
              <w:jc w:val="right"/>
              <w:rPr>
                <w:b w:val="0"/>
                <w:sz w:val="20"/>
                <w:rtl w:val="0"/>
              </w:rPr>
            </w:pPr>
            <w:r>
              <w:rPr>
                <w:b w:val="0"/>
                <w:sz w:val="20"/>
                <w:rtl w:val="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Victoria Park</w:t>
            </w:r>
          </w:p>
        </w:tc>
        <w:tc>
          <w:tcPr>
            <w:vAlign w:val="center"/>
          </w:tcPr>
          <w:p>
            <w:pPr>
              <w:bidi w:val="0"/>
              <w:spacing w:after="0" w:afterAutospacing="1"/>
              <w:jc w:val="right"/>
              <w:rPr>
                <w:b w:val="0"/>
                <w:sz w:val="20"/>
                <w:rtl w:val="0"/>
              </w:rPr>
            </w:pPr>
            <w:r>
              <w:rPr>
                <w:b w:val="0"/>
                <w:sz w:val="20"/>
                <w:rtl w:val="0"/>
              </w:rPr>
              <w:t>1,010</w:t>
            </w:r>
          </w:p>
        </w:tc>
        <w:tc>
          <w:tcPr>
            <w:vAlign w:val="center"/>
          </w:tcPr>
          <w:p>
            <w:pPr>
              <w:bidi w:val="0"/>
              <w:spacing w:after="0" w:afterAutospacing="1"/>
              <w:jc w:val="right"/>
              <w:rPr>
                <w:b w:val="0"/>
                <w:sz w:val="20"/>
                <w:rtl w:val="0"/>
              </w:rPr>
            </w:pPr>
            <w:r>
              <w:rPr>
                <w:b w:val="0"/>
                <w:sz w:val="20"/>
                <w:rtl w:val="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Rockingham</w:t>
            </w:r>
          </w:p>
        </w:tc>
        <w:tc>
          <w:tcPr>
            <w:vAlign w:val="center"/>
          </w:tcPr>
          <w:p>
            <w:pPr>
              <w:bidi w:val="0"/>
              <w:spacing w:after="0" w:afterAutospacing="1"/>
              <w:jc w:val="right"/>
              <w:rPr>
                <w:b w:val="0"/>
                <w:sz w:val="20"/>
                <w:rtl w:val="0"/>
              </w:rPr>
            </w:pPr>
            <w:r>
              <w:rPr>
                <w:b w:val="0"/>
                <w:sz w:val="20"/>
                <w:rtl w:val="0"/>
              </w:rPr>
              <w:t>841</w:t>
            </w:r>
          </w:p>
        </w:tc>
        <w:tc>
          <w:tcPr>
            <w:vAlign w:val="center"/>
          </w:tcPr>
          <w:p>
            <w:pPr>
              <w:bidi w:val="0"/>
              <w:spacing w:after="0" w:afterAutospacing="1"/>
              <w:jc w:val="right"/>
              <w:rPr>
                <w:b w:val="0"/>
                <w:sz w:val="20"/>
                <w:rtl w:val="0"/>
              </w:rPr>
            </w:pPr>
            <w:r>
              <w:rPr>
                <w:b w:val="0"/>
                <w:sz w:val="20"/>
                <w:rtl w:val="0"/>
              </w:rPr>
              <w:t>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South Perth</w:t>
            </w:r>
          </w:p>
        </w:tc>
        <w:tc>
          <w:tcPr>
            <w:vAlign w:val="center"/>
          </w:tcPr>
          <w:p>
            <w:pPr>
              <w:bidi w:val="0"/>
              <w:spacing w:after="0" w:afterAutospacing="1"/>
              <w:jc w:val="right"/>
              <w:rPr>
                <w:b w:val="0"/>
                <w:sz w:val="20"/>
                <w:rtl w:val="0"/>
              </w:rPr>
            </w:pPr>
            <w:r>
              <w:rPr>
                <w:b w:val="0"/>
                <w:sz w:val="20"/>
                <w:rtl w:val="0"/>
              </w:rPr>
              <w:t>815</w:t>
            </w:r>
          </w:p>
        </w:tc>
        <w:tc>
          <w:tcPr>
            <w:vAlign w:val="center"/>
          </w:tcPr>
          <w:p>
            <w:pPr>
              <w:bidi w:val="0"/>
              <w:spacing w:after="0" w:afterAutospacing="1"/>
              <w:jc w:val="right"/>
              <w:rPr>
                <w:b w:val="0"/>
                <w:sz w:val="20"/>
                <w:rtl w:val="0"/>
              </w:rPr>
            </w:pPr>
            <w:r>
              <w:rPr>
                <w:b w:val="0"/>
                <w:sz w:val="20"/>
                <w:rtl w:val="0"/>
              </w:rPr>
              <w:t>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Perth</w:t>
            </w:r>
          </w:p>
        </w:tc>
        <w:tc>
          <w:tcPr>
            <w:vAlign w:val="center"/>
          </w:tcPr>
          <w:p>
            <w:pPr>
              <w:bidi w:val="0"/>
              <w:spacing w:after="0" w:afterAutospacing="1"/>
              <w:jc w:val="right"/>
              <w:rPr>
                <w:b w:val="0"/>
                <w:sz w:val="20"/>
                <w:rtl w:val="0"/>
              </w:rPr>
            </w:pPr>
            <w:r>
              <w:rPr>
                <w:b w:val="0"/>
                <w:sz w:val="20"/>
                <w:rtl w:val="0"/>
              </w:rPr>
              <w:t>655</w:t>
            </w:r>
          </w:p>
        </w:tc>
        <w:tc>
          <w:tcPr>
            <w:vAlign w:val="center"/>
          </w:tcPr>
          <w:p>
            <w:pPr>
              <w:bidi w:val="0"/>
              <w:spacing w:after="0" w:afterAutospacing="1"/>
              <w:jc w:val="right"/>
              <w:rPr>
                <w:b w:val="0"/>
                <w:sz w:val="20"/>
                <w:rtl w:val="0"/>
              </w:rPr>
            </w:pPr>
            <w:r>
              <w:rPr>
                <w:b w:val="0"/>
                <w:sz w:val="20"/>
                <w:rtl w:val="0"/>
              </w:rPr>
              <w:t>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Chittering</w:t>
            </w:r>
          </w:p>
        </w:tc>
        <w:tc>
          <w:tcPr>
            <w:vAlign w:val="center"/>
          </w:tcPr>
          <w:p>
            <w:pPr>
              <w:bidi w:val="0"/>
              <w:spacing w:after="0" w:afterAutospacing="1"/>
              <w:jc w:val="right"/>
              <w:rPr>
                <w:b w:val="0"/>
                <w:sz w:val="20"/>
                <w:rtl w:val="0"/>
              </w:rPr>
            </w:pPr>
            <w:r>
              <w:rPr>
                <w:b w:val="0"/>
                <w:sz w:val="20"/>
                <w:rtl w:val="0"/>
              </w:rPr>
              <w:t>616</w:t>
            </w:r>
          </w:p>
        </w:tc>
        <w:tc>
          <w:tcPr>
            <w:vAlign w:val="center"/>
          </w:tcPr>
          <w:p>
            <w:pPr>
              <w:bidi w:val="0"/>
              <w:spacing w:after="0" w:afterAutospacing="1"/>
              <w:jc w:val="right"/>
              <w:rPr>
                <w:b w:val="0"/>
                <w:sz w:val="20"/>
                <w:rtl w:val="0"/>
              </w:rPr>
            </w:pPr>
            <w:r>
              <w:rPr>
                <w:b w:val="0"/>
                <w:sz w:val="20"/>
                <w:rtl w:val="0"/>
              </w:rPr>
              <w:t>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Serpentine-Jarrahdale</w:t>
            </w:r>
          </w:p>
        </w:tc>
        <w:tc>
          <w:tcPr>
            <w:vAlign w:val="center"/>
          </w:tcPr>
          <w:p>
            <w:pPr>
              <w:bidi w:val="0"/>
              <w:spacing w:after="0" w:afterAutospacing="1"/>
              <w:jc w:val="right"/>
              <w:rPr>
                <w:b w:val="0"/>
                <w:sz w:val="20"/>
                <w:rtl w:val="0"/>
              </w:rPr>
            </w:pPr>
            <w:r>
              <w:rPr>
                <w:b w:val="0"/>
                <w:sz w:val="20"/>
                <w:rtl w:val="0"/>
              </w:rPr>
              <w:t>491</w:t>
            </w:r>
          </w:p>
        </w:tc>
        <w:tc>
          <w:tcPr>
            <w:vAlign w:val="center"/>
          </w:tcPr>
          <w:p>
            <w:pPr>
              <w:bidi w:val="0"/>
              <w:spacing w:after="0" w:afterAutospacing="1"/>
              <w:jc w:val="right"/>
              <w:rPr>
                <w:b w:val="0"/>
                <w:sz w:val="20"/>
                <w:rtl w:val="0"/>
              </w:rPr>
            </w:pPr>
            <w:r>
              <w:rPr>
                <w:b w:val="0"/>
                <w:sz w:val="20"/>
                <w:rtl w:val="0"/>
              </w:rPr>
              <w:t>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Cambridge</w:t>
            </w:r>
          </w:p>
        </w:tc>
        <w:tc>
          <w:tcPr>
            <w:vAlign w:val="center"/>
          </w:tcPr>
          <w:p>
            <w:pPr>
              <w:bidi w:val="0"/>
              <w:spacing w:after="0" w:afterAutospacing="1"/>
              <w:jc w:val="right"/>
              <w:rPr>
                <w:b w:val="0"/>
                <w:sz w:val="20"/>
                <w:rtl w:val="0"/>
              </w:rPr>
            </w:pPr>
            <w:r>
              <w:rPr>
                <w:b w:val="0"/>
                <w:sz w:val="20"/>
                <w:rtl w:val="0"/>
              </w:rPr>
              <w:t>439</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Kwinana</w:t>
            </w:r>
          </w:p>
        </w:tc>
        <w:tc>
          <w:tcPr>
            <w:vAlign w:val="center"/>
          </w:tcPr>
          <w:p>
            <w:pPr>
              <w:bidi w:val="0"/>
              <w:spacing w:after="0" w:afterAutospacing="1"/>
              <w:jc w:val="right"/>
              <w:rPr>
                <w:b w:val="0"/>
                <w:sz w:val="20"/>
                <w:rtl w:val="0"/>
              </w:rPr>
            </w:pPr>
            <w:r>
              <w:rPr>
                <w:b w:val="0"/>
                <w:sz w:val="20"/>
                <w:rtl w:val="0"/>
              </w:rPr>
              <w:t>422</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Northam</w:t>
            </w:r>
          </w:p>
        </w:tc>
        <w:tc>
          <w:tcPr>
            <w:vAlign w:val="center"/>
          </w:tcPr>
          <w:p>
            <w:pPr>
              <w:bidi w:val="0"/>
              <w:spacing w:after="0" w:afterAutospacing="1"/>
              <w:jc w:val="right"/>
              <w:rPr>
                <w:b w:val="0"/>
                <w:sz w:val="20"/>
                <w:rtl w:val="0"/>
              </w:rPr>
            </w:pPr>
            <w:r>
              <w:rPr>
                <w:b w:val="0"/>
                <w:sz w:val="20"/>
                <w:rtl w:val="0"/>
              </w:rPr>
              <w:t>380</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Mandurah</w:t>
            </w:r>
          </w:p>
        </w:tc>
        <w:tc>
          <w:tcPr>
            <w:vAlign w:val="center"/>
          </w:tcPr>
          <w:p>
            <w:pPr>
              <w:bidi w:val="0"/>
              <w:spacing w:after="0" w:afterAutospacing="1"/>
              <w:jc w:val="right"/>
              <w:rPr>
                <w:b w:val="0"/>
                <w:sz w:val="20"/>
                <w:rtl w:val="0"/>
              </w:rPr>
            </w:pPr>
            <w:r>
              <w:rPr>
                <w:b w:val="0"/>
                <w:sz w:val="20"/>
                <w:rtl w:val="0"/>
              </w:rPr>
              <w:t>326</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Nedlands</w:t>
            </w:r>
          </w:p>
        </w:tc>
        <w:tc>
          <w:tcPr>
            <w:vAlign w:val="center"/>
          </w:tcPr>
          <w:p>
            <w:pPr>
              <w:bidi w:val="0"/>
              <w:spacing w:after="0" w:afterAutospacing="1"/>
              <w:jc w:val="right"/>
              <w:rPr>
                <w:b w:val="0"/>
                <w:sz w:val="20"/>
                <w:rtl w:val="0"/>
              </w:rPr>
            </w:pPr>
            <w:r>
              <w:rPr>
                <w:b w:val="0"/>
                <w:sz w:val="20"/>
                <w:rtl w:val="0"/>
              </w:rPr>
              <w:t>259</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Fremantle</w:t>
            </w:r>
          </w:p>
        </w:tc>
        <w:tc>
          <w:tcPr>
            <w:vAlign w:val="center"/>
          </w:tcPr>
          <w:p>
            <w:pPr>
              <w:bidi w:val="0"/>
              <w:spacing w:after="0" w:afterAutospacing="1"/>
              <w:jc w:val="right"/>
              <w:rPr>
                <w:b w:val="0"/>
                <w:sz w:val="20"/>
                <w:rtl w:val="0"/>
              </w:rPr>
            </w:pPr>
            <w:r>
              <w:rPr>
                <w:b w:val="0"/>
                <w:sz w:val="20"/>
                <w:rtl w:val="0"/>
              </w:rPr>
              <w:t>235</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Subiaco</w:t>
            </w:r>
          </w:p>
        </w:tc>
        <w:tc>
          <w:tcPr>
            <w:vAlign w:val="center"/>
          </w:tcPr>
          <w:p>
            <w:pPr>
              <w:bidi w:val="0"/>
              <w:spacing w:after="0" w:afterAutospacing="1"/>
              <w:jc w:val="right"/>
              <w:rPr>
                <w:b w:val="0"/>
                <w:sz w:val="20"/>
                <w:rtl w:val="0"/>
              </w:rPr>
            </w:pPr>
            <w:r>
              <w:rPr>
                <w:b w:val="0"/>
                <w:sz w:val="20"/>
                <w:rtl w:val="0"/>
              </w:rPr>
              <w:t>218</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Toodyay</w:t>
            </w:r>
          </w:p>
        </w:tc>
        <w:tc>
          <w:tcPr>
            <w:vAlign w:val="center"/>
          </w:tcPr>
          <w:p>
            <w:pPr>
              <w:bidi w:val="0"/>
              <w:spacing w:after="0" w:afterAutospacing="1"/>
              <w:jc w:val="right"/>
              <w:rPr>
                <w:b w:val="0"/>
                <w:sz w:val="20"/>
                <w:rtl w:val="0"/>
              </w:rPr>
            </w:pPr>
            <w:r>
              <w:rPr>
                <w:b w:val="0"/>
                <w:sz w:val="20"/>
                <w:rtl w:val="0"/>
              </w:rPr>
              <w:t>194</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Claremont</w:t>
            </w:r>
          </w:p>
        </w:tc>
        <w:tc>
          <w:tcPr>
            <w:vAlign w:val="center"/>
          </w:tcPr>
          <w:p>
            <w:pPr>
              <w:bidi w:val="0"/>
              <w:spacing w:after="0" w:afterAutospacing="1"/>
              <w:jc w:val="right"/>
              <w:rPr>
                <w:b w:val="0"/>
                <w:sz w:val="20"/>
                <w:rtl w:val="0"/>
              </w:rPr>
            </w:pPr>
            <w:r>
              <w:rPr>
                <w:b w:val="0"/>
                <w:sz w:val="20"/>
                <w:rtl w:val="0"/>
              </w:rPr>
              <w:t>93</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Mosman Park</w:t>
            </w:r>
          </w:p>
        </w:tc>
        <w:tc>
          <w:tcPr>
            <w:vAlign w:val="center"/>
          </w:tcPr>
          <w:p>
            <w:pPr>
              <w:bidi w:val="0"/>
              <w:spacing w:after="0" w:afterAutospacing="1"/>
              <w:jc w:val="right"/>
              <w:rPr>
                <w:b w:val="0"/>
                <w:sz w:val="20"/>
                <w:rtl w:val="0"/>
              </w:rPr>
            </w:pPr>
            <w:r>
              <w:rPr>
                <w:b w:val="0"/>
                <w:sz w:val="20"/>
                <w:rtl w:val="0"/>
              </w:rPr>
              <w:t>83</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Gingin</w:t>
            </w:r>
          </w:p>
        </w:tc>
        <w:tc>
          <w:tcPr>
            <w:vAlign w:val="center"/>
          </w:tcPr>
          <w:p>
            <w:pPr>
              <w:bidi w:val="0"/>
              <w:spacing w:after="0" w:afterAutospacing="1"/>
              <w:jc w:val="right"/>
              <w:rPr>
                <w:b w:val="0"/>
                <w:sz w:val="20"/>
                <w:rtl w:val="0"/>
              </w:rPr>
            </w:pPr>
            <w:r>
              <w:rPr>
                <w:b w:val="0"/>
                <w:sz w:val="20"/>
                <w:rtl w:val="0"/>
              </w:rPr>
              <w:t>81</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Cottesloe</w:t>
            </w:r>
          </w:p>
        </w:tc>
        <w:tc>
          <w:tcPr>
            <w:vAlign w:val="center"/>
          </w:tcPr>
          <w:p>
            <w:pPr>
              <w:bidi w:val="0"/>
              <w:spacing w:after="0" w:afterAutospacing="1"/>
              <w:jc w:val="right"/>
              <w:rPr>
                <w:b w:val="0"/>
                <w:sz w:val="20"/>
                <w:rtl w:val="0"/>
              </w:rPr>
            </w:pPr>
            <w:r>
              <w:rPr>
                <w:b w:val="0"/>
                <w:sz w:val="20"/>
                <w:rtl w:val="0"/>
              </w:rPr>
              <w:t>78</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Murray</w:t>
            </w:r>
          </w:p>
        </w:tc>
        <w:tc>
          <w:tcPr>
            <w:vAlign w:val="center"/>
          </w:tcPr>
          <w:p>
            <w:pPr>
              <w:bidi w:val="0"/>
              <w:spacing w:after="0" w:afterAutospacing="1"/>
              <w:jc w:val="right"/>
              <w:rPr>
                <w:b w:val="0"/>
                <w:sz w:val="20"/>
                <w:rtl w:val="0"/>
              </w:rPr>
            </w:pPr>
            <w:r>
              <w:rPr>
                <w:b w:val="0"/>
                <w:sz w:val="20"/>
                <w:rtl w:val="0"/>
              </w:rPr>
              <w:t>58</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York</w:t>
            </w:r>
          </w:p>
        </w:tc>
        <w:tc>
          <w:tcPr>
            <w:vAlign w:val="center"/>
          </w:tcPr>
          <w:p>
            <w:pPr>
              <w:bidi w:val="0"/>
              <w:spacing w:after="0" w:afterAutospacing="1"/>
              <w:jc w:val="right"/>
              <w:rPr>
                <w:b w:val="0"/>
                <w:sz w:val="20"/>
                <w:rtl w:val="0"/>
              </w:rPr>
            </w:pPr>
            <w:r>
              <w:rPr>
                <w:b w:val="0"/>
                <w:sz w:val="20"/>
                <w:rtl w:val="0"/>
              </w:rPr>
              <w:t>57</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Busselton</w:t>
            </w:r>
          </w:p>
        </w:tc>
        <w:tc>
          <w:tcPr>
            <w:vAlign w:val="center"/>
          </w:tcPr>
          <w:p>
            <w:pPr>
              <w:bidi w:val="0"/>
              <w:spacing w:after="0" w:afterAutospacing="1"/>
              <w:jc w:val="right"/>
              <w:rPr>
                <w:b w:val="0"/>
                <w:sz w:val="20"/>
                <w:rtl w:val="0"/>
              </w:rPr>
            </w:pPr>
            <w:r>
              <w:rPr>
                <w:b w:val="0"/>
                <w:sz w:val="20"/>
                <w:rtl w:val="0"/>
              </w:rPr>
              <w:t>48</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East Fremantle</w:t>
            </w:r>
          </w:p>
        </w:tc>
        <w:tc>
          <w:tcPr>
            <w:vAlign w:val="center"/>
          </w:tcPr>
          <w:p>
            <w:pPr>
              <w:bidi w:val="0"/>
              <w:spacing w:after="0" w:afterAutospacing="1"/>
              <w:jc w:val="right"/>
              <w:rPr>
                <w:b w:val="0"/>
                <w:sz w:val="20"/>
                <w:rtl w:val="0"/>
              </w:rPr>
            </w:pPr>
            <w:r>
              <w:rPr>
                <w:b w:val="0"/>
                <w:sz w:val="20"/>
                <w:rtl w:val="0"/>
              </w:rPr>
              <w:t>45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 usual address (WA)</w:t>
            </w:r>
          </w:p>
        </w:tc>
        <w:tc>
          <w:tcPr>
            <w:vAlign w:val="center"/>
          </w:tcPr>
          <w:p>
            <w:pPr>
              <w:bidi w:val="0"/>
              <w:spacing w:after="0" w:afterAutospacing="1"/>
              <w:jc w:val="right"/>
              <w:rPr>
                <w:b w:val="0"/>
                <w:sz w:val="20"/>
                <w:rtl w:val="0"/>
              </w:rPr>
            </w:pPr>
            <w:r>
              <w:rPr>
                <w:b w:val="0"/>
                <w:sz w:val="20"/>
                <w:rtl w:val="0"/>
              </w:rPr>
              <w:t>43</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Broome</w:t>
            </w:r>
          </w:p>
        </w:tc>
        <w:tc>
          <w:tcPr>
            <w:vAlign w:val="center"/>
          </w:tcPr>
          <w:p>
            <w:pPr>
              <w:bidi w:val="0"/>
              <w:spacing w:after="0" w:afterAutospacing="1"/>
              <w:jc w:val="right"/>
              <w:rPr>
                <w:b w:val="0"/>
                <w:sz w:val="20"/>
                <w:rtl w:val="0"/>
              </w:rPr>
            </w:pPr>
            <w:r>
              <w:rPr>
                <w:b w:val="0"/>
                <w:sz w:val="20"/>
                <w:rtl w:val="0"/>
              </w:rPr>
              <w:t>35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Harvey</w:t>
            </w:r>
          </w:p>
        </w:tc>
        <w:tc>
          <w:tcPr>
            <w:vAlign w:val="center"/>
          </w:tcPr>
          <w:p>
            <w:pPr>
              <w:bidi w:val="0"/>
              <w:spacing w:after="0" w:afterAutospacing="1"/>
              <w:jc w:val="right"/>
              <w:rPr>
                <w:b w:val="0"/>
                <w:sz w:val="20"/>
                <w:rtl w:val="0"/>
              </w:rPr>
            </w:pPr>
            <w:r>
              <w:rPr>
                <w:b w:val="0"/>
                <w:sz w:val="20"/>
                <w:rtl w:val="0"/>
              </w:rPr>
              <w:t>26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Capel</w:t>
            </w:r>
          </w:p>
        </w:tc>
        <w:tc>
          <w:tcPr>
            <w:vAlign w:val="center"/>
          </w:tcPr>
          <w:p>
            <w:pPr>
              <w:bidi w:val="0"/>
              <w:spacing w:after="0" w:afterAutospacing="1"/>
              <w:jc w:val="right"/>
              <w:rPr>
                <w:b w:val="0"/>
                <w:sz w:val="20"/>
                <w:rtl w:val="0"/>
              </w:rPr>
            </w:pPr>
            <w:r>
              <w:rPr>
                <w:b w:val="0"/>
                <w:sz w:val="20"/>
                <w:rtl w:val="0"/>
              </w:rPr>
              <w:t>20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Geraldton</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Beverley</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Gold Coast</w:t>
            </w:r>
          </w:p>
        </w:tc>
        <w:tc>
          <w:tcPr>
            <w:vAlign w:val="center"/>
          </w:tcPr>
          <w:p>
            <w:pPr>
              <w:bidi w:val="0"/>
              <w:spacing w:after="0" w:afterAutospacing="1"/>
              <w:jc w:val="right"/>
              <w:rPr>
                <w:b w:val="0"/>
                <w:sz w:val="20"/>
                <w:rtl w:val="0"/>
              </w:rPr>
            </w:pPr>
            <w:r>
              <w:rPr>
                <w:b w:val="0"/>
                <w:sz w:val="20"/>
                <w:rtl w:val="0"/>
              </w:rPr>
              <w:t>18</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Bunbury</w:t>
            </w:r>
          </w:p>
        </w:tc>
        <w:tc>
          <w:tcPr>
            <w:vAlign w:val="center"/>
          </w:tcPr>
          <w:p>
            <w:pPr>
              <w:bidi w:val="0"/>
              <w:spacing w:after="0" w:afterAutospacing="1"/>
              <w:jc w:val="right"/>
              <w:rPr>
                <w:b w:val="0"/>
                <w:sz w:val="20"/>
                <w:rtl w:val="0"/>
              </w:rPr>
            </w:pPr>
            <w:r>
              <w:rPr>
                <w:b w:val="0"/>
                <w:sz w:val="20"/>
                <w:rtl w:val="0"/>
              </w:rPr>
              <w:t>17</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Brisbane</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Karratha</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Albany</w:t>
            </w:r>
          </w:p>
        </w:tc>
        <w:tc>
          <w:tcPr>
            <w:vAlign w:val="center"/>
          </w:tcPr>
          <w:p>
            <w:pPr>
              <w:bidi w:val="0"/>
              <w:spacing w:after="0" w:afterAutospacing="1"/>
              <w:jc w:val="right"/>
              <w:rPr>
                <w:b w:val="0"/>
                <w:sz w:val="20"/>
                <w:rtl w:val="0"/>
              </w:rPr>
            </w:pPr>
            <w:r>
              <w:rPr>
                <w:b w:val="0"/>
                <w:sz w:val="20"/>
                <w:rtl w:val="0"/>
              </w:rPr>
              <w:t>15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Augusta Margaret River</w:t>
            </w:r>
          </w:p>
        </w:tc>
        <w:tc>
          <w:tcPr>
            <w:vAlign w:val="center"/>
          </w:tcPr>
          <w:p>
            <w:pPr>
              <w:bidi w:val="0"/>
              <w:spacing w:after="0" w:afterAutospacing="1"/>
              <w:jc w:val="right"/>
              <w:rPr>
                <w:b w:val="0"/>
                <w:sz w:val="20"/>
                <w:rtl w:val="0"/>
              </w:rPr>
            </w:pPr>
            <w:r>
              <w:rPr>
                <w:b w:val="0"/>
                <w:sz w:val="20"/>
                <w:rtl w:val="0"/>
              </w:rPr>
              <w:t>14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East Pilbara</w:t>
            </w:r>
          </w:p>
        </w:tc>
        <w:tc>
          <w:tcPr>
            <w:vAlign w:val="center"/>
          </w:tcPr>
          <w:p>
            <w:pPr>
              <w:bidi w:val="0"/>
              <w:spacing w:after="0" w:afterAutospacing="1"/>
              <w:jc w:val="right"/>
              <w:rPr>
                <w:b w:val="0"/>
                <w:sz w:val="20"/>
                <w:rtl w:val="0"/>
              </w:rPr>
            </w:pPr>
            <w:r>
              <w:rPr>
                <w:b w:val="0"/>
                <w:sz w:val="20"/>
                <w:rtl w:val="0"/>
              </w:rPr>
              <w:t>14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Port Adelaide Enfield</w:t>
            </w:r>
          </w:p>
        </w:tc>
        <w:tc>
          <w:tcPr>
            <w:vAlign w:val="center"/>
          </w:tcPr>
          <w:p>
            <w:pPr>
              <w:bidi w:val="0"/>
              <w:spacing w:after="0" w:afterAutospacing="1"/>
              <w:jc w:val="right"/>
              <w:rPr>
                <w:b w:val="0"/>
                <w:sz w:val="20"/>
                <w:rtl w:val="0"/>
              </w:rPr>
            </w:pPr>
            <w:r>
              <w:rPr>
                <w:b w:val="0"/>
                <w:sz w:val="20"/>
                <w:rtl w:val="0"/>
              </w:rPr>
              <w:t>12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Ashburton</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Logan</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Townsville</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Dandaragan</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Port Hedland</w:t>
            </w:r>
          </w:p>
        </w:tc>
        <w:tc>
          <w:tcPr>
            <w:vAlign w:val="center"/>
          </w:tcPr>
          <w:p>
            <w:pPr>
              <w:bidi w:val="0"/>
              <w:spacing w:after="0" w:afterAutospacing="1"/>
              <w:jc w:val="right"/>
              <w:rPr>
                <w:b w:val="0"/>
                <w:sz w:val="20"/>
                <w:rtl w:val="0"/>
              </w:rPr>
            </w:pPr>
            <w:r>
              <w:rPr>
                <w:b w:val="0"/>
                <w:sz w:val="20"/>
                <w:rtl w:val="0"/>
              </w:rPr>
              <w:t>11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Victoria Plains</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Esperance</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Laverton</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Northern Beaches</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bl>
    <w:p>
      <w:pPr>
        <w:bidi w:val="0"/>
        <w:spacing w:after="0" w:afterAutospacing="1"/>
        <w:jc w:val="center"/>
        <w:rPr>
          <w:rtl w:val="0"/>
        </w:rP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