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Eastern Metropolitan Regional Council</w:t>
      </w:r>
    </w:p>
    <w:p w:rsidR="001A6775">
      <w:pPr>
        <w:pStyle w:val="Heading4"/>
        <w:bidi w:val="0"/>
        <w:spacing w:after="280" w:afterAutospacing="1"/>
      </w:pPr>
      <w:r>
        <w:rPr>
          <w:rtl w:val="0"/>
        </w:rPr>
        <w:t>Occupation of employment</w:t>
      </w:r>
    </w:p>
    <w:p w:rsidR="001A6775">
      <w:pPr>
        <w:bidi w:val="0"/>
        <w:spacing w:after="280" w:afterAutospacing="1"/>
      </w:pPr>
      <w:r>
        <w:rPr>
          <w:rtl w:val="0"/>
        </w:rPr>
        <w:t xml:space="preserve">City of Bayswater's occupation statistics quantify the occupations in which the residents work (which may be within the residing area or elsewhere). This will be influenced by the economic base and employment opportunities available in the area, education levels, and the working and social aspirations of the population. When viewed with other indicators, such as </w:t>
      </w:r>
      <w:r>
        <w:rPr>
          <w:rtl w:val="0"/>
        </w:rPr>
        <w:fldChar w:fldCharType="begin"/>
      </w:r>
      <w:r>
        <w:rPr>
          <w:rtl w:val="0"/>
        </w:rPr>
        <w:instrText xml:space="preserve"> HYPERLINK "qualifications?[QS]" </w:instrText>
      </w:r>
      <w:r>
        <w:rPr>
          <w:rtl w:val="0"/>
        </w:rPr>
        <w:fldChar w:fldCharType="separate"/>
      </w:r>
      <w:r>
        <w:rPr>
          <w:color w:val="0000FF"/>
          <w:u w:val="single"/>
          <w:rtl w:val="0"/>
        </w:rPr>
        <w:t>Educational Qualifications</w:t>
      </w:r>
      <w:r>
        <w:rPr>
          <w:rtl w:val="0"/>
        </w:rPr>
        <w:fldChar w:fldCharType="end"/>
      </w:r>
      <w:r>
        <w:rPr>
          <w:rtl w:val="0"/>
        </w:rPr>
        <w:t xml:space="preserve"> and </w:t>
      </w:r>
      <w:r>
        <w:rPr>
          <w:rtl w:val="0"/>
        </w:rPr>
        <w:fldChar w:fldCharType="begin"/>
      </w:r>
      <w:r>
        <w:rPr>
          <w:rtl w:val="0"/>
        </w:rPr>
        <w:instrText xml:space="preserve"> HYPERLINK "individual-income?[QS]" </w:instrText>
      </w:r>
      <w:r>
        <w:rPr>
          <w:rtl w:val="0"/>
        </w:rPr>
        <w:fldChar w:fldCharType="separate"/>
      </w:r>
      <w:r>
        <w:rPr>
          <w:color w:val="0000FF"/>
          <w:u w:val="single"/>
          <w:rtl w:val="0"/>
        </w:rPr>
        <w:t>Individual Income</w:t>
      </w:r>
      <w:r>
        <w:rPr>
          <w:rtl w:val="0"/>
        </w:rPr>
        <w:fldChar w:fldCharType="end"/>
      </w:r>
      <w:r>
        <w:rPr>
          <w:rtl w:val="0"/>
        </w:rPr>
        <w:t>, Occupation is a key measure for evaluating City of Bayswater's socio-economic status and skill base.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Occupation of employment</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City of Bayswater - Employed persons (Enumerated)</w:t>
            </w:r>
          </w:p>
        </w:tc>
        <w:tc>
          <w:tcPr>
            <w:hMerge w:val="restart"/>
          </w:tcPr>
          <w:p w:rsidR="001A6775">
            <w:pPr>
              <w:bidi w:val="0"/>
              <w:spacing w:after="0" w:afterAutospacing="1"/>
              <w:jc w:val="center"/>
              <w:rPr>
                <w:b/>
                <w:sz w:val="2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Occupation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EMRC area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EMRC area %</w:t>
            </w:r>
          </w:p>
        </w:tc>
        <w:tc>
          <w:tcPr>
            <w:vAlign w:val="center"/>
          </w:tcPr>
          <w:p w:rsidR="001A6775">
            <w:pPr>
              <w:bidi w:val="0"/>
              <w:spacing w:after="0" w:afterAutospacing="1"/>
              <w:jc w:val="right"/>
              <w:rPr>
                <w:b/>
                <w:sz w:val="20"/>
              </w:rPr>
            </w:pPr>
            <w:r>
              <w:rPr>
                <w:b/>
                <w:sz w:val="20"/>
              </w:rPr>
              <w:t>2011 to 2016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Managers</w:t>
            </w:r>
          </w:p>
        </w:tc>
        <w:tc>
          <w:tcPr>
            <w:vAlign w:val="center"/>
          </w:tcPr>
          <w:p w:rsidR="001A6775">
            <w:pPr>
              <w:bidi w:val="0"/>
              <w:spacing w:after="0" w:afterAutospacing="1"/>
              <w:jc w:val="right"/>
              <w:rPr>
                <w:b w:val="0"/>
                <w:sz w:val="20"/>
              </w:rPr>
            </w:pPr>
            <w:r>
              <w:rPr>
                <w:b w:val="0"/>
                <w:sz w:val="20"/>
              </w:rPr>
              <w:t>3,677</w:t>
            </w:r>
          </w:p>
        </w:tc>
        <w:tc>
          <w:tcPr>
            <w:vAlign w:val="center"/>
          </w:tcPr>
          <w:p w:rsidR="001A6775">
            <w:pPr>
              <w:bidi w:val="0"/>
              <w:spacing w:after="0" w:afterAutospacing="1"/>
              <w:jc w:val="right"/>
              <w:rPr>
                <w:b w:val="0"/>
                <w:sz w:val="20"/>
              </w:rPr>
            </w:pPr>
            <w:r>
              <w:rPr>
                <w:b w:val="0"/>
                <w:sz w:val="20"/>
              </w:rPr>
              <w:t>11.4</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3,401</w:t>
            </w:r>
          </w:p>
        </w:tc>
        <w:tc>
          <w:tcPr>
            <w:vAlign w:val="center"/>
          </w:tcPr>
          <w:p w:rsidR="001A6775">
            <w:pPr>
              <w:bidi w:val="0"/>
              <w:spacing w:after="0" w:afterAutospacing="1"/>
              <w:jc w:val="right"/>
              <w:rPr>
                <w:b w:val="0"/>
                <w:sz w:val="20"/>
              </w:rPr>
            </w:pPr>
            <w:r>
              <w:rPr>
                <w:b w:val="0"/>
                <w:sz w:val="20"/>
              </w:rPr>
              <w:t>10.6</w:t>
            </w:r>
          </w:p>
        </w:tc>
        <w:tc>
          <w:tcPr>
            <w:vAlign w:val="center"/>
          </w:tcPr>
          <w:p w:rsidR="001A6775">
            <w:pPr>
              <w:bidi w:val="0"/>
              <w:spacing w:after="0" w:afterAutospacing="1"/>
              <w:jc w:val="right"/>
              <w:rPr>
                <w:b w:val="0"/>
                <w:sz w:val="20"/>
              </w:rPr>
            </w:pPr>
            <w:r>
              <w:rPr>
                <w:b w:val="0"/>
                <w:sz w:val="20"/>
              </w:rPr>
              <w:t>10.7</w:t>
            </w:r>
          </w:p>
        </w:tc>
        <w:tc>
          <w:tcPr>
            <w:vAlign w:val="center"/>
          </w:tcPr>
          <w:p w:rsidR="001A6775">
            <w:pPr>
              <w:bidi w:val="0"/>
              <w:spacing w:after="0" w:afterAutospacing="1"/>
              <w:jc w:val="right"/>
              <w:rPr>
                <w:b w:val="0"/>
                <w:sz w:val="20"/>
              </w:rPr>
            </w:pPr>
            <w:r>
              <w:rPr>
                <w:b w:val="0"/>
                <w:sz w:val="20"/>
              </w:rPr>
              <w:t>+276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Professionals</w:t>
            </w:r>
          </w:p>
        </w:tc>
        <w:tc>
          <w:tcPr>
            <w:vAlign w:val="center"/>
          </w:tcPr>
          <w:p w:rsidR="001A6775">
            <w:pPr>
              <w:bidi w:val="0"/>
              <w:spacing w:after="0" w:afterAutospacing="1"/>
              <w:jc w:val="right"/>
              <w:rPr>
                <w:b w:val="0"/>
                <w:sz w:val="20"/>
              </w:rPr>
            </w:pPr>
            <w:r>
              <w:rPr>
                <w:b w:val="0"/>
                <w:sz w:val="20"/>
              </w:rPr>
              <w:t>7,731</w:t>
            </w:r>
          </w:p>
        </w:tc>
        <w:tc>
          <w:tcPr>
            <w:vAlign w:val="center"/>
          </w:tcPr>
          <w:p w:rsidR="001A6775">
            <w:pPr>
              <w:bidi w:val="0"/>
              <w:spacing w:after="0" w:afterAutospacing="1"/>
              <w:jc w:val="right"/>
              <w:rPr>
                <w:b w:val="0"/>
                <w:sz w:val="20"/>
              </w:rPr>
            </w:pPr>
            <w:r>
              <w:rPr>
                <w:b w:val="0"/>
                <w:sz w:val="20"/>
              </w:rPr>
              <w:t>23.9</w:t>
            </w:r>
          </w:p>
        </w:tc>
        <w:tc>
          <w:tcPr>
            <w:vAlign w:val="center"/>
          </w:tcPr>
          <w:p w:rsidR="001A6775">
            <w:pPr>
              <w:bidi w:val="0"/>
              <w:spacing w:after="0" w:afterAutospacing="1"/>
              <w:jc w:val="right"/>
              <w:rPr>
                <w:b w:val="0"/>
                <w:sz w:val="20"/>
              </w:rPr>
            </w:pPr>
            <w:r>
              <w:rPr>
                <w:b w:val="0"/>
                <w:sz w:val="20"/>
              </w:rPr>
              <w:t>18.2</w:t>
            </w:r>
          </w:p>
        </w:tc>
        <w:tc>
          <w:tcPr>
            <w:vAlign w:val="center"/>
          </w:tcPr>
          <w:p w:rsidR="001A6775">
            <w:pPr>
              <w:bidi w:val="0"/>
              <w:spacing w:after="0" w:afterAutospacing="1"/>
              <w:jc w:val="right"/>
              <w:rPr>
                <w:b w:val="0"/>
                <w:sz w:val="20"/>
              </w:rPr>
            </w:pPr>
            <w:r>
              <w:rPr>
                <w:b w:val="0"/>
                <w:sz w:val="20"/>
              </w:rPr>
              <w:t>7,145</w:t>
            </w:r>
          </w:p>
        </w:tc>
        <w:tc>
          <w:tcPr>
            <w:vAlign w:val="center"/>
          </w:tcPr>
          <w:p w:rsidR="001A6775">
            <w:pPr>
              <w:bidi w:val="0"/>
              <w:spacing w:after="0" w:afterAutospacing="1"/>
              <w:jc w:val="right"/>
              <w:rPr>
                <w:b w:val="0"/>
                <w:sz w:val="20"/>
              </w:rPr>
            </w:pPr>
            <w:r>
              <w:rPr>
                <w:b w:val="0"/>
                <w:sz w:val="20"/>
              </w:rPr>
              <w:t>22.4</w:t>
            </w:r>
          </w:p>
        </w:tc>
        <w:tc>
          <w:tcPr>
            <w:vAlign w:val="center"/>
          </w:tcPr>
          <w:p w:rsidR="001A6775">
            <w:pPr>
              <w:bidi w:val="0"/>
              <w:spacing w:after="0" w:afterAutospacing="1"/>
              <w:jc w:val="right"/>
              <w:rPr>
                <w:b w:val="0"/>
                <w:sz w:val="20"/>
              </w:rPr>
            </w:pPr>
            <w:r>
              <w:rPr>
                <w:b w:val="0"/>
                <w:sz w:val="20"/>
              </w:rPr>
              <w:t>17.5</w:t>
            </w:r>
          </w:p>
        </w:tc>
        <w:tc>
          <w:tcPr>
            <w:vAlign w:val="center"/>
          </w:tcPr>
          <w:p w:rsidR="001A6775">
            <w:pPr>
              <w:bidi w:val="0"/>
              <w:spacing w:after="0" w:afterAutospacing="1"/>
              <w:jc w:val="right"/>
              <w:rPr>
                <w:b w:val="0"/>
                <w:sz w:val="20"/>
              </w:rPr>
            </w:pPr>
            <w:r>
              <w:rPr>
                <w:b w:val="0"/>
                <w:sz w:val="20"/>
              </w:rPr>
              <w:t>+586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Technicians and Trades Workers</w:t>
            </w:r>
          </w:p>
        </w:tc>
        <w:tc>
          <w:tcPr>
            <w:vAlign w:val="center"/>
          </w:tcPr>
          <w:p w:rsidR="001A6775">
            <w:pPr>
              <w:bidi w:val="0"/>
              <w:spacing w:after="0" w:afterAutospacing="1"/>
              <w:jc w:val="right"/>
              <w:rPr>
                <w:b w:val="0"/>
                <w:sz w:val="20"/>
              </w:rPr>
            </w:pPr>
            <w:r>
              <w:rPr>
                <w:b w:val="0"/>
                <w:sz w:val="20"/>
              </w:rPr>
              <w:t>4,783</w:t>
            </w:r>
          </w:p>
        </w:tc>
        <w:tc>
          <w:tcPr>
            <w:vAlign w:val="center"/>
          </w:tcPr>
          <w:p w:rsidR="001A6775">
            <w:pPr>
              <w:bidi w:val="0"/>
              <w:spacing w:after="0" w:afterAutospacing="1"/>
              <w:jc w:val="right"/>
              <w:rPr>
                <w:b w:val="0"/>
                <w:sz w:val="20"/>
              </w:rPr>
            </w:pPr>
            <w:r>
              <w:rPr>
                <w:b w:val="0"/>
                <w:sz w:val="20"/>
              </w:rPr>
              <w:t>14.8</w:t>
            </w:r>
          </w:p>
        </w:tc>
        <w:tc>
          <w:tcPr>
            <w:vAlign w:val="center"/>
          </w:tcPr>
          <w:p w:rsidR="001A6775">
            <w:pPr>
              <w:bidi w:val="0"/>
              <w:spacing w:after="0" w:afterAutospacing="1"/>
              <w:jc w:val="right"/>
              <w:rPr>
                <w:b w:val="0"/>
                <w:sz w:val="20"/>
              </w:rPr>
            </w:pPr>
            <w:r>
              <w:rPr>
                <w:b w:val="0"/>
                <w:sz w:val="20"/>
              </w:rPr>
              <w:t>16.4</w:t>
            </w:r>
          </w:p>
        </w:tc>
        <w:tc>
          <w:tcPr>
            <w:vAlign w:val="center"/>
          </w:tcPr>
          <w:p w:rsidR="001A6775">
            <w:pPr>
              <w:bidi w:val="0"/>
              <w:spacing w:after="0" w:afterAutospacing="1"/>
              <w:jc w:val="right"/>
              <w:rPr>
                <w:b w:val="0"/>
                <w:sz w:val="20"/>
              </w:rPr>
            </w:pPr>
            <w:r>
              <w:rPr>
                <w:b w:val="0"/>
                <w:sz w:val="20"/>
              </w:rPr>
              <w:t>5,085</w:t>
            </w:r>
          </w:p>
        </w:tc>
        <w:tc>
          <w:tcPr>
            <w:vAlign w:val="center"/>
          </w:tcPr>
          <w:p w:rsidR="001A6775">
            <w:pPr>
              <w:bidi w:val="0"/>
              <w:spacing w:after="0" w:afterAutospacing="1"/>
              <w:jc w:val="right"/>
              <w:rPr>
                <w:b w:val="0"/>
                <w:sz w:val="20"/>
              </w:rPr>
            </w:pPr>
            <w:r>
              <w:rPr>
                <w:b w:val="0"/>
                <w:sz w:val="20"/>
              </w:rPr>
              <w:t>15.9</w:t>
            </w:r>
          </w:p>
        </w:tc>
        <w:tc>
          <w:tcPr>
            <w:vAlign w:val="center"/>
          </w:tcPr>
          <w:p w:rsidR="001A6775">
            <w:pPr>
              <w:bidi w:val="0"/>
              <w:spacing w:after="0" w:afterAutospacing="1"/>
              <w:jc w:val="right"/>
              <w:rPr>
                <w:b w:val="0"/>
                <w:sz w:val="20"/>
              </w:rPr>
            </w:pPr>
            <w:r>
              <w:rPr>
                <w:b w:val="0"/>
                <w:sz w:val="20"/>
              </w:rPr>
              <w:t>17.1</w:t>
            </w:r>
          </w:p>
        </w:tc>
        <w:tc>
          <w:tcPr>
            <w:vAlign w:val="center"/>
          </w:tcPr>
          <w:p w:rsidR="001A6775">
            <w:pPr>
              <w:bidi w:val="0"/>
              <w:spacing w:after="0" w:afterAutospacing="1"/>
              <w:jc w:val="right"/>
              <w:rPr>
                <w:b w:val="0"/>
                <w:sz w:val="20"/>
              </w:rPr>
            </w:pPr>
            <w:r>
              <w:rPr>
                <w:b w:val="0"/>
                <w:sz w:val="20"/>
              </w:rPr>
              <w:t>-302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Community and Personal Service Workers</w:t>
            </w:r>
          </w:p>
        </w:tc>
        <w:tc>
          <w:tcPr>
            <w:vAlign w:val="center"/>
          </w:tcPr>
          <w:p w:rsidR="001A6775">
            <w:pPr>
              <w:bidi w:val="0"/>
              <w:spacing w:after="0" w:afterAutospacing="1"/>
              <w:jc w:val="right"/>
              <w:rPr>
                <w:b w:val="0"/>
                <w:sz w:val="20"/>
              </w:rPr>
            </w:pPr>
            <w:r>
              <w:rPr>
                <w:b w:val="0"/>
                <w:sz w:val="20"/>
              </w:rPr>
              <w:t>3,572</w:t>
            </w:r>
          </w:p>
        </w:tc>
        <w:tc>
          <w:tcPr>
            <w:vAlign w:val="center"/>
          </w:tcPr>
          <w:p w:rsidR="001A6775">
            <w:pPr>
              <w:bidi w:val="0"/>
              <w:spacing w:after="0" w:afterAutospacing="1"/>
              <w:jc w:val="right"/>
              <w:rPr>
                <w:b w:val="0"/>
                <w:sz w:val="20"/>
              </w:rPr>
            </w:pPr>
            <w:r>
              <w:rPr>
                <w:b w:val="0"/>
                <w:sz w:val="20"/>
              </w:rPr>
              <w:t>11.1</w:t>
            </w:r>
          </w:p>
        </w:tc>
        <w:tc>
          <w:tcPr>
            <w:vAlign w:val="center"/>
          </w:tcPr>
          <w:p w:rsidR="001A6775">
            <w:pPr>
              <w:bidi w:val="0"/>
              <w:spacing w:after="0" w:afterAutospacing="1"/>
              <w:jc w:val="right"/>
              <w:rPr>
                <w:b w:val="0"/>
                <w:sz w:val="20"/>
              </w:rPr>
            </w:pPr>
            <w:r>
              <w:rPr>
                <w:b w:val="0"/>
                <w:sz w:val="20"/>
              </w:rPr>
              <w:t>11.6</w:t>
            </w:r>
          </w:p>
        </w:tc>
        <w:tc>
          <w:tcPr>
            <w:vAlign w:val="center"/>
          </w:tcPr>
          <w:p w:rsidR="001A6775">
            <w:pPr>
              <w:bidi w:val="0"/>
              <w:spacing w:after="0" w:afterAutospacing="1"/>
              <w:jc w:val="right"/>
              <w:rPr>
                <w:b w:val="0"/>
                <w:sz w:val="20"/>
              </w:rPr>
            </w:pPr>
            <w:r>
              <w:rPr>
                <w:b w:val="0"/>
                <w:sz w:val="20"/>
              </w:rPr>
              <w:t>3,140</w:t>
            </w:r>
          </w:p>
        </w:tc>
        <w:tc>
          <w:tcPr>
            <w:vAlign w:val="center"/>
          </w:tcPr>
          <w:p w:rsidR="001A6775">
            <w:pPr>
              <w:bidi w:val="0"/>
              <w:spacing w:after="0" w:afterAutospacing="1"/>
              <w:jc w:val="right"/>
              <w:rPr>
                <w:b w:val="0"/>
                <w:sz w:val="20"/>
              </w:rPr>
            </w:pPr>
            <w:r>
              <w:rPr>
                <w:b w:val="0"/>
                <w:sz w:val="20"/>
              </w:rPr>
              <w:t>9.8</w:t>
            </w:r>
          </w:p>
        </w:tc>
        <w:tc>
          <w:tcPr>
            <w:vAlign w:val="center"/>
          </w:tcPr>
          <w:p w:rsidR="001A6775">
            <w:pPr>
              <w:bidi w:val="0"/>
              <w:spacing w:after="0" w:afterAutospacing="1"/>
              <w:jc w:val="right"/>
              <w:rPr>
                <w:b w:val="0"/>
                <w:sz w:val="20"/>
              </w:rPr>
            </w:pPr>
            <w:r>
              <w:rPr>
                <w:b w:val="0"/>
                <w:sz w:val="20"/>
              </w:rPr>
              <w:t>10.1</w:t>
            </w:r>
          </w:p>
        </w:tc>
        <w:tc>
          <w:tcPr>
            <w:vAlign w:val="center"/>
          </w:tcPr>
          <w:p w:rsidR="001A6775">
            <w:pPr>
              <w:bidi w:val="0"/>
              <w:spacing w:after="0" w:afterAutospacing="1"/>
              <w:jc w:val="right"/>
              <w:rPr>
                <w:b w:val="0"/>
                <w:sz w:val="20"/>
              </w:rPr>
            </w:pPr>
            <w:r>
              <w:rPr>
                <w:b w:val="0"/>
                <w:sz w:val="20"/>
              </w:rPr>
              <w:t>+432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Clerical and Administrative Workers</w:t>
            </w:r>
          </w:p>
        </w:tc>
        <w:tc>
          <w:tcPr>
            <w:vAlign w:val="center"/>
          </w:tcPr>
          <w:p w:rsidR="001A6775">
            <w:pPr>
              <w:bidi w:val="0"/>
              <w:spacing w:after="0" w:afterAutospacing="1"/>
              <w:jc w:val="right"/>
              <w:rPr>
                <w:b w:val="0"/>
                <w:sz w:val="20"/>
              </w:rPr>
            </w:pPr>
            <w:r>
              <w:rPr>
                <w:b w:val="0"/>
                <w:sz w:val="20"/>
              </w:rPr>
              <w:t>4,545</w:t>
            </w:r>
          </w:p>
        </w:tc>
        <w:tc>
          <w:tcPr>
            <w:vAlign w:val="center"/>
          </w:tcPr>
          <w:p w:rsidR="001A6775">
            <w:pPr>
              <w:bidi w:val="0"/>
              <w:spacing w:after="0" w:afterAutospacing="1"/>
              <w:jc w:val="right"/>
              <w:rPr>
                <w:b w:val="0"/>
                <w:sz w:val="20"/>
              </w:rPr>
            </w:pPr>
            <w:r>
              <w:rPr>
                <w:b w:val="0"/>
                <w:sz w:val="20"/>
              </w:rPr>
              <w:t>14.1</w:t>
            </w:r>
          </w:p>
        </w:tc>
        <w:tc>
          <w:tcPr>
            <w:vAlign w:val="center"/>
          </w:tcPr>
          <w:p w:rsidR="001A6775">
            <w:pPr>
              <w:bidi w:val="0"/>
              <w:spacing w:after="0" w:afterAutospacing="1"/>
              <w:jc w:val="right"/>
              <w:rPr>
                <w:b w:val="0"/>
                <w:sz w:val="20"/>
              </w:rPr>
            </w:pPr>
            <w:r>
              <w:rPr>
                <w:b w:val="0"/>
                <w:sz w:val="20"/>
              </w:rPr>
              <w:t>14.6</w:t>
            </w:r>
          </w:p>
        </w:tc>
        <w:tc>
          <w:tcPr>
            <w:vAlign w:val="center"/>
          </w:tcPr>
          <w:p w:rsidR="001A6775">
            <w:pPr>
              <w:bidi w:val="0"/>
              <w:spacing w:after="0" w:afterAutospacing="1"/>
              <w:jc w:val="right"/>
              <w:rPr>
                <w:b w:val="0"/>
                <w:sz w:val="20"/>
              </w:rPr>
            </w:pPr>
            <w:r>
              <w:rPr>
                <w:b w:val="0"/>
                <w:sz w:val="20"/>
              </w:rPr>
              <w:t>5,118</w:t>
            </w:r>
          </w:p>
        </w:tc>
        <w:tc>
          <w:tcPr>
            <w:vAlign w:val="center"/>
          </w:tcPr>
          <w:p w:rsidR="001A6775">
            <w:pPr>
              <w:bidi w:val="0"/>
              <w:spacing w:after="0" w:afterAutospacing="1"/>
              <w:jc w:val="right"/>
              <w:rPr>
                <w:b w:val="0"/>
                <w:sz w:val="20"/>
              </w:rPr>
            </w:pPr>
            <w:r>
              <w:rPr>
                <w:b w:val="0"/>
                <w:sz w:val="20"/>
              </w:rPr>
              <w:t>16.0</w:t>
            </w:r>
          </w:p>
        </w:tc>
        <w:tc>
          <w:tcPr>
            <w:vAlign w:val="center"/>
          </w:tcPr>
          <w:p w:rsidR="001A6775">
            <w:pPr>
              <w:bidi w:val="0"/>
              <w:spacing w:after="0" w:afterAutospacing="1"/>
              <w:jc w:val="right"/>
              <w:rPr>
                <w:b w:val="0"/>
                <w:sz w:val="20"/>
              </w:rPr>
            </w:pPr>
            <w:r>
              <w:rPr>
                <w:b w:val="0"/>
                <w:sz w:val="20"/>
              </w:rPr>
              <w:t>16.3</w:t>
            </w:r>
          </w:p>
        </w:tc>
        <w:tc>
          <w:tcPr>
            <w:vAlign w:val="center"/>
          </w:tcPr>
          <w:p w:rsidR="001A6775">
            <w:pPr>
              <w:bidi w:val="0"/>
              <w:spacing w:after="0" w:afterAutospacing="1"/>
              <w:jc w:val="right"/>
              <w:rPr>
                <w:b w:val="0"/>
                <w:sz w:val="20"/>
              </w:rPr>
            </w:pPr>
            <w:r>
              <w:rPr>
                <w:b w:val="0"/>
                <w:sz w:val="20"/>
              </w:rPr>
              <w:t>-573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Sales Workers</w:t>
            </w:r>
          </w:p>
        </w:tc>
        <w:tc>
          <w:tcPr>
            <w:vAlign w:val="center"/>
          </w:tcPr>
          <w:p w:rsidR="001A6775">
            <w:pPr>
              <w:bidi w:val="0"/>
              <w:spacing w:after="0" w:afterAutospacing="1"/>
              <w:jc w:val="right"/>
              <w:rPr>
                <w:b w:val="0"/>
                <w:sz w:val="20"/>
              </w:rPr>
            </w:pPr>
            <w:r>
              <w:rPr>
                <w:b w:val="0"/>
                <w:sz w:val="20"/>
              </w:rPr>
              <w:t>2,903</w:t>
            </w:r>
          </w:p>
        </w:tc>
        <w:tc>
          <w:tcPr>
            <w:vAlign w:val="center"/>
          </w:tcPr>
          <w:p w:rsidR="001A6775">
            <w:pPr>
              <w:bidi w:val="0"/>
              <w:spacing w:after="0" w:afterAutospacing="1"/>
              <w:jc w:val="right"/>
              <w:rPr>
                <w:b w:val="0"/>
                <w:sz w:val="20"/>
              </w:rPr>
            </w:pPr>
            <w:r>
              <w:rPr>
                <w:b w:val="0"/>
                <w:sz w:val="20"/>
              </w:rPr>
              <w:t>9.0</w:t>
            </w:r>
          </w:p>
        </w:tc>
        <w:tc>
          <w:tcPr>
            <w:vAlign w:val="center"/>
          </w:tcPr>
          <w:p w:rsidR="001A6775">
            <w:pPr>
              <w:bidi w:val="0"/>
              <w:spacing w:after="0" w:afterAutospacing="1"/>
              <w:jc w:val="right"/>
              <w:rPr>
                <w:b w:val="0"/>
                <w:sz w:val="20"/>
              </w:rPr>
            </w:pPr>
            <w:r>
              <w:rPr>
                <w:b w:val="0"/>
                <w:sz w:val="20"/>
              </w:rPr>
              <w:t>9.5</w:t>
            </w:r>
          </w:p>
        </w:tc>
        <w:tc>
          <w:tcPr>
            <w:vAlign w:val="center"/>
          </w:tcPr>
          <w:p w:rsidR="001A6775">
            <w:pPr>
              <w:bidi w:val="0"/>
              <w:spacing w:after="0" w:afterAutospacing="1"/>
              <w:jc w:val="right"/>
              <w:rPr>
                <w:b w:val="0"/>
                <w:sz w:val="20"/>
              </w:rPr>
            </w:pPr>
            <w:r>
              <w:rPr>
                <w:b w:val="0"/>
                <w:sz w:val="20"/>
              </w:rPr>
              <w:t>2,864</w:t>
            </w:r>
          </w:p>
        </w:tc>
        <w:tc>
          <w:tcPr>
            <w:vAlign w:val="center"/>
          </w:tcPr>
          <w:p w:rsidR="001A6775">
            <w:pPr>
              <w:bidi w:val="0"/>
              <w:spacing w:after="0" w:afterAutospacing="1"/>
              <w:jc w:val="right"/>
              <w:rPr>
                <w:b w:val="0"/>
                <w:sz w:val="20"/>
              </w:rPr>
            </w:pPr>
            <w:r>
              <w:rPr>
                <w:b w:val="0"/>
                <w:sz w:val="20"/>
              </w:rPr>
              <w:t>9.0</w:t>
            </w:r>
          </w:p>
        </w:tc>
        <w:tc>
          <w:tcPr>
            <w:vAlign w:val="center"/>
          </w:tcPr>
          <w:p w:rsidR="001A6775">
            <w:pPr>
              <w:bidi w:val="0"/>
              <w:spacing w:after="0" w:afterAutospacing="1"/>
              <w:jc w:val="right"/>
              <w:rPr>
                <w:b w:val="0"/>
                <w:sz w:val="20"/>
              </w:rPr>
            </w:pPr>
            <w:r>
              <w:rPr>
                <w:b w:val="0"/>
                <w:sz w:val="20"/>
              </w:rPr>
              <w:t>9.4</w:t>
            </w:r>
          </w:p>
        </w:tc>
        <w:tc>
          <w:tcPr>
            <w:vAlign w:val="center"/>
          </w:tcPr>
          <w:p w:rsidR="001A6775">
            <w:pPr>
              <w:bidi w:val="0"/>
              <w:spacing w:after="0" w:afterAutospacing="1"/>
              <w:jc w:val="right"/>
              <w:rPr>
                <w:b w:val="0"/>
                <w:sz w:val="20"/>
              </w:rPr>
            </w:pPr>
            <w:r>
              <w:rPr>
                <w:b w:val="0"/>
                <w:sz w:val="20"/>
              </w:rPr>
              <w:t>+39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Machinery Operators And Drivers</w:t>
            </w:r>
          </w:p>
        </w:tc>
        <w:tc>
          <w:tcPr>
            <w:vAlign w:val="center"/>
          </w:tcPr>
          <w:p w:rsidR="001A6775">
            <w:pPr>
              <w:bidi w:val="0"/>
              <w:spacing w:after="0" w:afterAutospacing="1"/>
              <w:jc w:val="right"/>
              <w:rPr>
                <w:b w:val="0"/>
                <w:sz w:val="20"/>
              </w:rPr>
            </w:pPr>
            <w:r>
              <w:rPr>
                <w:b w:val="0"/>
                <w:sz w:val="20"/>
              </w:rPr>
              <w:t>1,785</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7.7</w:t>
            </w:r>
          </w:p>
        </w:tc>
        <w:tc>
          <w:tcPr>
            <w:vAlign w:val="center"/>
          </w:tcPr>
          <w:p w:rsidR="001A6775">
            <w:pPr>
              <w:bidi w:val="0"/>
              <w:spacing w:after="0" w:afterAutospacing="1"/>
              <w:jc w:val="right"/>
              <w:rPr>
                <w:b w:val="0"/>
                <w:sz w:val="20"/>
              </w:rPr>
            </w:pPr>
            <w:r>
              <w:rPr>
                <w:b w:val="0"/>
                <w:sz w:val="20"/>
              </w:rPr>
              <w:t>2,008</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7.9</w:t>
            </w:r>
          </w:p>
        </w:tc>
        <w:tc>
          <w:tcPr>
            <w:vAlign w:val="center"/>
          </w:tcPr>
          <w:p w:rsidR="001A6775">
            <w:pPr>
              <w:bidi w:val="0"/>
              <w:spacing w:after="0" w:afterAutospacing="1"/>
              <w:jc w:val="right"/>
              <w:rPr>
                <w:b w:val="0"/>
                <w:sz w:val="20"/>
              </w:rPr>
            </w:pPr>
            <w:r>
              <w:rPr>
                <w:b w:val="0"/>
                <w:sz w:val="20"/>
              </w:rPr>
              <w:t>-223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Labourers</w:t>
            </w:r>
          </w:p>
        </w:tc>
        <w:tc>
          <w:tcPr>
            <w:vAlign w:val="center"/>
          </w:tcPr>
          <w:p w:rsidR="001A6775">
            <w:pPr>
              <w:bidi w:val="0"/>
              <w:spacing w:after="0" w:afterAutospacing="1"/>
              <w:jc w:val="right"/>
              <w:rPr>
                <w:b w:val="0"/>
                <w:sz w:val="20"/>
              </w:rPr>
            </w:pPr>
            <w:r>
              <w:rPr>
                <w:b w:val="0"/>
                <w:sz w:val="20"/>
              </w:rPr>
              <w:t>2,789</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9.6</w:t>
            </w:r>
          </w:p>
        </w:tc>
        <w:tc>
          <w:tcPr>
            <w:vAlign w:val="center"/>
          </w:tcPr>
          <w:p w:rsidR="001A6775">
            <w:pPr>
              <w:bidi w:val="0"/>
              <w:spacing w:after="0" w:afterAutospacing="1"/>
              <w:jc w:val="right"/>
              <w:rPr>
                <w:b w:val="0"/>
                <w:sz w:val="20"/>
              </w:rPr>
            </w:pPr>
            <w:r>
              <w:rPr>
                <w:b w:val="0"/>
                <w:sz w:val="20"/>
              </w:rPr>
              <w:t>2,730</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9.5</w:t>
            </w:r>
          </w:p>
        </w:tc>
        <w:tc>
          <w:tcPr>
            <w:vAlign w:val="center"/>
          </w:tcPr>
          <w:p w:rsidR="001A6775">
            <w:pPr>
              <w:bidi w:val="0"/>
              <w:spacing w:after="0" w:afterAutospacing="1"/>
              <w:jc w:val="right"/>
              <w:rPr>
                <w:b w:val="0"/>
                <w:sz w:val="20"/>
              </w:rPr>
            </w:pPr>
            <w:r>
              <w:rPr>
                <w:b w:val="0"/>
                <w:sz w:val="20"/>
              </w:rPr>
              <w:t>+59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 or inadequately described</w:t>
            </w:r>
          </w:p>
        </w:tc>
        <w:tc>
          <w:tcPr>
            <w:vAlign w:val="center"/>
          </w:tcPr>
          <w:p w:rsidR="001A6775">
            <w:pPr>
              <w:bidi w:val="0"/>
              <w:spacing w:after="0" w:afterAutospacing="1"/>
              <w:jc w:val="right"/>
              <w:rPr>
                <w:b w:val="0"/>
                <w:sz w:val="20"/>
              </w:rPr>
            </w:pPr>
            <w:r>
              <w:rPr>
                <w:b w:val="0"/>
                <w:sz w:val="20"/>
              </w:rPr>
              <w:t>537</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459</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+78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32,322</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31,950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+372</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 analysis of the jobs held by the resident population in City of Bayswater in 2016 shows the three most popular occupations were:</w:t>
      </w:r>
    </w:p>
    <w:p>
      <w:pPr>
        <w:numPr>
          <w:ilvl w:val="0"/>
          <w:numId w:val="1"/>
        </w:numPr>
        <w:bidi w:val="0"/>
        <w:spacing w:after="0" w:afterAutospacing="0"/>
        <w:rPr>
          <w:rtl w:val="0"/>
        </w:rPr>
      </w:pPr>
      <w:r>
        <w:rPr>
          <w:rtl w:val="0"/>
        </w:rPr>
        <w:t>Professionals (7,731 people or 23.9%)</w:t>
      </w:r>
    </w:p>
    <w:p>
      <w:pPr>
        <w:numPr>
          <w:ilvl w:val="0"/>
          <w:numId w:val="1"/>
        </w:numPr>
        <w:bidi w:val="0"/>
        <w:spacing w:after="0" w:afterAutospacing="0"/>
        <w:ind w:left="720"/>
        <w:rPr>
          <w:rtl w:val="0"/>
        </w:rPr>
      </w:pPr>
      <w:r>
        <w:rPr>
          <w:rtl w:val="0"/>
        </w:rPr>
        <w:t>Technicians and Trades Workers (4,783 people or 14.8%)</w:t>
      </w:r>
    </w:p>
    <w:p>
      <w:pPr>
        <w:numPr>
          <w:ilvl w:val="0"/>
          <w:numId w:val="1"/>
        </w:numPr>
        <w:bidi w:val="0"/>
        <w:spacing w:after="280" w:afterAutospacing="1"/>
        <w:ind w:left="720"/>
        <w:rPr>
          <w:rtl w:val="0"/>
        </w:rPr>
      </w:pPr>
      <w:r>
        <w:rPr>
          <w:rtl w:val="0"/>
        </w:rPr>
        <w:t>Clerical and Administrative Workers (4,545 people or 14.1%)</w:t>
      </w:r>
    </w:p>
    <w:p>
      <w:pPr>
        <w:bidi w:val="0"/>
        <w:spacing w:after="280" w:afterAutospacing="1"/>
        <w:rPr>
          <w:rtl w:val="0"/>
        </w:rPr>
      </w:pPr>
      <w:r>
        <w:rPr>
          <w:rtl w:val="0"/>
        </w:rPr>
        <w:t>In combination these three occupations accounted for 17,059 people in total or 52.8% of the employed resident population.</w:t>
      </w:r>
    </w:p>
    <w:p>
      <w:pPr>
        <w:bidi w:val="0"/>
        <w:spacing w:after="280" w:afterAutospacing="1"/>
        <w:rPr>
          <w:rtl w:val="0"/>
        </w:rPr>
      </w:pPr>
      <w:r>
        <w:rPr>
          <w:rtl w:val="0"/>
        </w:rPr>
        <w:t>In comparison, EMRC area employed 18.2% in Professionals; 16.4% in Technicians and Trades Workers; and 14.6% in Clerical and Administrative Workers.</w:t>
      </w:r>
    </w:p>
    <w:p>
      <w:pPr>
        <w:bidi w:val="0"/>
        <w:spacing w:after="280" w:afterAutospacing="1"/>
        <w:rPr>
          <w:rtl w:val="0"/>
        </w:rPr>
      </w:pPr>
      <w:r>
        <w:rPr>
          <w:rtl w:val="0"/>
        </w:rPr>
        <w:t>The major differences between the jobs held by the population of City of Bayswater and EMRC area were:</w:t>
      </w:r>
    </w:p>
    <w:p>
      <w:pPr>
        <w:numPr>
          <w:ilvl w:val="0"/>
          <w:numId w:val="2"/>
        </w:numPr>
        <w:bidi w:val="0"/>
        <w:spacing w:after="0" w:afterAutospacing="0"/>
        <w:rPr>
          <w:rtl w:val="0"/>
        </w:rPr>
      </w:pPr>
      <w:r>
        <w:rPr>
          <w:rtl w:val="0"/>
        </w:rPr>
        <w:t xml:space="preserve">A </w:t>
      </w:r>
      <w:r>
        <w:rPr>
          <w:i/>
          <w:iCs/>
          <w:rtl w:val="0"/>
        </w:rPr>
        <w:t>larger</w:t>
      </w:r>
      <w:r>
        <w:rPr>
          <w:rtl w:val="0"/>
        </w:rPr>
        <w:t xml:space="preserve"> percentage of persons employed as Professionals (23.9% compared to 18.2%)</w:t>
      </w:r>
    </w:p>
    <w:p>
      <w:pPr>
        <w:numPr>
          <w:ilvl w:val="0"/>
          <w:numId w:val="2"/>
        </w:numPr>
        <w:bidi w:val="0"/>
        <w:spacing w:after="0" w:afterAutospacing="0"/>
        <w:ind w:left="720"/>
        <w:rPr>
          <w:rtl w:val="0"/>
        </w:rPr>
      </w:pPr>
      <w:r>
        <w:rPr>
          <w:rtl w:val="0"/>
        </w:rPr>
        <w:t xml:space="preserve">A </w:t>
      </w:r>
      <w:r>
        <w:rPr>
          <w:i/>
          <w:iCs/>
          <w:rtl w:val="0"/>
        </w:rPr>
        <w:t>smaller</w:t>
      </w:r>
      <w:r>
        <w:rPr>
          <w:rtl w:val="0"/>
        </w:rPr>
        <w:t xml:space="preserve"> percentage of persons employed as Machinery Operators And Drivers (5.5% compared to 7.7%)</w:t>
      </w:r>
    </w:p>
    <w:p>
      <w:pPr>
        <w:numPr>
          <w:ilvl w:val="0"/>
          <w:numId w:val="2"/>
        </w:numPr>
        <w:bidi w:val="0"/>
        <w:spacing w:after="280" w:afterAutospacing="1"/>
        <w:ind w:left="720"/>
        <w:rPr>
          <w:rtl w:val="0"/>
        </w:rPr>
      </w:pPr>
      <w:r>
        <w:rPr>
          <w:rtl w:val="0"/>
        </w:rPr>
        <w:t xml:space="preserve">A </w:t>
      </w:r>
      <w:r>
        <w:rPr>
          <w:i/>
          <w:iCs/>
          <w:rtl w:val="0"/>
        </w:rPr>
        <w:t>smaller</w:t>
      </w:r>
      <w:r>
        <w:rPr>
          <w:rtl w:val="0"/>
        </w:rPr>
        <w:t xml:space="preserve"> percentage of persons employed as Technicians and Trades Workers (14.8% compared to 16.4%)</w:t>
      </w:r>
    </w:p>
    <w:p w:rsidR="001A6775">
      <w:pPr>
        <w:bidi w:val="0"/>
        <w:spacing w:after="280" w:afterAutospacing="1"/>
      </w:pPr>
      <w:r>
        <w:rPr>
          <w:rtl w:val="0"/>
        </w:rPr>
        <w:t>The number of employed people in City of Bayswater increased by 372 between 2011 and 2016.</w:t>
      </w:r>
    </w:p>
    <w:p>
      <w:pPr>
        <w:bidi w:val="0"/>
        <w:spacing w:after="280" w:afterAutospacing="1"/>
        <w:rPr>
          <w:rtl w:val="0"/>
        </w:rPr>
      </w:pPr>
      <w:r>
        <w:rPr>
          <w:rtl w:val="0"/>
        </w:rPr>
        <w:t>The largest changes in the occupations of residents between 2011 and 2016 in City of Bayswater were for those employed as:</w:t>
      </w:r>
    </w:p>
    <w:p>
      <w:pPr>
        <w:numPr>
          <w:ilvl w:val="0"/>
          <w:numId w:val="3"/>
        </w:numPr>
        <w:bidi w:val="0"/>
        <w:spacing w:after="0" w:afterAutospacing="0"/>
        <w:rPr>
          <w:rtl w:val="0"/>
        </w:rPr>
      </w:pPr>
      <w:r>
        <w:rPr>
          <w:rtl w:val="0"/>
        </w:rPr>
        <w:t>Professionals (+586 persons)</w:t>
      </w:r>
    </w:p>
    <w:p>
      <w:pPr>
        <w:numPr>
          <w:ilvl w:val="0"/>
          <w:numId w:val="3"/>
        </w:numPr>
        <w:bidi w:val="0"/>
        <w:spacing w:after="0" w:afterAutospacing="0"/>
        <w:ind w:left="720"/>
        <w:rPr>
          <w:rtl w:val="0"/>
        </w:rPr>
      </w:pPr>
      <w:r>
        <w:rPr>
          <w:rtl w:val="0"/>
        </w:rPr>
        <w:t>Clerical and Administrative Workers (-573 persons)</w:t>
      </w:r>
    </w:p>
    <w:p>
      <w:pPr>
        <w:numPr>
          <w:ilvl w:val="0"/>
          <w:numId w:val="3"/>
        </w:numPr>
        <w:bidi w:val="0"/>
        <w:spacing w:after="0" w:afterAutospacing="0"/>
        <w:ind w:left="720"/>
        <w:rPr>
          <w:rtl w:val="0"/>
        </w:rPr>
      </w:pPr>
      <w:r>
        <w:rPr>
          <w:rtl w:val="0"/>
        </w:rPr>
        <w:t>Community and Personal Service Workers (+432 persons)</w:t>
      </w:r>
    </w:p>
    <w:p>
      <w:pPr>
        <w:numPr>
          <w:ilvl w:val="0"/>
          <w:numId w:val="3"/>
        </w:numPr>
        <w:bidi w:val="0"/>
        <w:spacing w:after="280" w:afterAutospacing="1"/>
        <w:ind w:left="720"/>
        <w:rPr>
          <w:rtl w:val="0"/>
        </w:rPr>
      </w:pPr>
      <w:r>
        <w:rPr>
          <w:rtl w:val="0"/>
        </w:rPr>
        <w:t>Technicians and Trades Workers (-302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