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Darebin</w:t>
      </w:r>
    </w:p>
    <w:p w:rsidR="001A6775">
      <w:pPr>
        <w:pStyle w:val="Heading4"/>
        <w:bidi w:val="0"/>
        <w:spacing w:after="280" w:afterAutospacing="1"/>
      </w:pPr>
      <w:r>
        <w:rPr>
          <w:rtl w:val="0"/>
        </w:rPr>
        <w:t>Method of travel to work</w:t>
      </w:r>
    </w:p>
    <w:p w:rsidR="001A6775">
      <w:pPr>
        <w:bidi w:val="0"/>
        <w:spacing w:after="280" w:afterAutospacing="1"/>
      </w:pPr>
      <w:r>
        <w:rPr>
          <w:rtl w:val="0"/>
        </w:rPr>
        <w:t>Northcote's commuting statistics reveal the main modes of transport by which residents get to work. There are a number of reasons why people use different modes of transport to get to work including the availability of affordable and effective public transport options, the number of motor vehicles available within a household, and the distance travelled to work.</w:t>
      </w:r>
    </w:p>
    <w:p>
      <w:pPr>
        <w:bidi w:val="0"/>
        <w:spacing w:after="280" w:afterAutospacing="1"/>
      </w:pPr>
      <w:r>
        <w:rPr>
          <w:rtl w:val="0"/>
        </w:rPr>
        <w:t xml:space="preserve">Commuting data is very useful in transport planning as it informs decision-makers about the availability, effectiveness and utilisation of local transport options, particularly when analysed with </w:t>
      </w:r>
      <w:r>
        <w:rPr>
          <w:rtl w:val="0"/>
        </w:rPr>
        <w:fldChar w:fldCharType="begin"/>
      </w:r>
      <w:r>
        <w:rPr>
          <w:rtl w:val="0"/>
        </w:rPr>
        <w:instrText xml:space="preserve"> HYPERLINK "residents?[QS]" </w:instrText>
      </w:r>
      <w:r>
        <w:rPr>
          <w:rtl w:val="0"/>
        </w:rPr>
        <w:fldChar w:fldCharType="separate"/>
      </w:r>
      <w:r>
        <w:rPr>
          <w:color w:val="0000FF"/>
          <w:u w:val="single"/>
          <w:rtl w:val="0"/>
        </w:rPr>
        <w:t>Residents Place of Work</w:t>
      </w:r>
      <w:r>
        <w:rPr>
          <w:rtl w:val="0"/>
        </w:rPr>
        <w:fldChar w:fldCharType="end"/>
      </w:r>
      <w:r>
        <w:rPr>
          <w:rtl w:val="0"/>
        </w:rPr>
        <w:t xml:space="preserve"> data and </w:t>
      </w:r>
      <w:r>
        <w:rPr>
          <w:rtl w:val="0"/>
        </w:rPr>
        <w:fldChar w:fldCharType="begin"/>
      </w:r>
      <w:r>
        <w:rPr>
          <w:rtl w:val="0"/>
        </w:rPr>
        <w:instrText xml:space="preserve"> HYPERLINK "car-ownership?[QS]" </w:instrText>
      </w:r>
      <w:r>
        <w:rPr>
          <w:rtl w:val="0"/>
        </w:rPr>
        <w:fldChar w:fldCharType="separate"/>
      </w:r>
      <w:r>
        <w:rPr>
          <w:color w:val="0000FF"/>
          <w:u w:val="single"/>
          <w:rtl w:val="0"/>
        </w:rPr>
        <w:t>Car Ownership</w:t>
      </w:r>
      <w:r>
        <w:rPr>
          <w:rtl w:val="0"/>
        </w:rPr>
        <w:fldChar w:fldCharType="end"/>
      </w:r>
      <w:r>
        <w:rPr>
          <w:rtl w:val="0"/>
        </w:rPr>
        <w:t>.</w:t>
      </w:r>
    </w:p>
    <w:p>
      <w:pPr>
        <w:bidi w:val="0"/>
        <w:spacing w:after="280" w:afterAutospacing="1"/>
      </w:pPr>
      <w:r>
        <w:rPr>
          <w:rtl w:val="0"/>
        </w:rPr>
        <w:t xml:space="preserve">WARNING: Method of travel to work relates to Census day, which for the 2021 Census occurred during COVID-19 lockdowns for large parts of Australia. In lockdown, many occupations were required to work from home if possible, and some industries were closed, so people did not go to work. For this reason, these categories may have increased, with corresponding declines in other methods of travel. Use the data with caution when comparing over time. For more details, please refer to the </w:t>
      </w:r>
      <w:r>
        <w:rPr>
          <w:rtl w:val="0"/>
        </w:rPr>
        <w:fldChar w:fldCharType="begin"/>
      </w:r>
      <w:r>
        <w:rPr>
          <w:rtl w:val="0"/>
        </w:rPr>
        <w:instrText xml:space="preserve"> HYPERLINK "topic-notes" \l "method-of-travel-to-work" \t "_blank" </w:instrText>
      </w:r>
      <w:r>
        <w:rPr>
          <w:rtl w:val="0"/>
        </w:rPr>
        <w:fldChar w:fldCharType="separate"/>
      </w:r>
      <w:r>
        <w:rPr>
          <w:color w:val="0000FF"/>
          <w:u w:val="single"/>
          <w:rtl w:val="0"/>
        </w:rPr>
        <w:t>data notes</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Method of travel to work</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Northcote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Main method of travel</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Victoria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Victoria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Train</w:t>
            </w:r>
          </w:p>
        </w:tc>
        <w:tc>
          <w:tcPr>
            <w:vAlign w:val="center"/>
          </w:tcPr>
          <w:p w:rsidR="001A6775">
            <w:pPr>
              <w:bidi w:val="0"/>
              <w:spacing w:after="0" w:afterAutospacing="1"/>
              <w:jc w:val="right"/>
              <w:rPr>
                <w:b w:val="0"/>
                <w:sz w:val="20"/>
              </w:rPr>
            </w:pPr>
            <w:r>
              <w:rPr>
                <w:b w:val="0"/>
                <w:sz w:val="20"/>
              </w:rPr>
              <w:t>602</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2,652</w:t>
            </w:r>
          </w:p>
        </w:tc>
        <w:tc>
          <w:tcPr>
            <w:vAlign w:val="center"/>
          </w:tcPr>
          <w:p w:rsidR="001A6775">
            <w:pPr>
              <w:bidi w:val="0"/>
              <w:spacing w:after="0" w:afterAutospacing="1"/>
              <w:jc w:val="right"/>
              <w:rPr>
                <w:b w:val="0"/>
                <w:sz w:val="20"/>
              </w:rPr>
            </w:pPr>
            <w:r>
              <w:rPr>
                <w:b w:val="0"/>
                <w:sz w:val="20"/>
              </w:rPr>
              <w:t>19.7</w:t>
            </w:r>
          </w:p>
        </w:tc>
        <w:tc>
          <w:tcPr>
            <w:vAlign w:val="center"/>
          </w:tcPr>
          <w:p w:rsidR="001A6775">
            <w:pPr>
              <w:bidi w:val="0"/>
              <w:spacing w:after="0" w:afterAutospacing="1"/>
              <w:jc w:val="right"/>
              <w:rPr>
                <w:b w:val="0"/>
                <w:sz w:val="20"/>
              </w:rPr>
            </w:pPr>
            <w:r>
              <w:rPr>
                <w:b w:val="0"/>
                <w:sz w:val="20"/>
              </w:rPr>
              <w:t>9.2</w:t>
            </w:r>
          </w:p>
        </w:tc>
        <w:tc>
          <w:tcPr>
            <w:vAlign w:val="center"/>
          </w:tcPr>
          <w:p w:rsidR="001A6775">
            <w:pPr>
              <w:bidi w:val="0"/>
              <w:spacing w:after="0" w:afterAutospacing="1"/>
              <w:jc w:val="right"/>
              <w:rPr>
                <w:b w:val="0"/>
                <w:sz w:val="20"/>
              </w:rPr>
            </w:pPr>
            <w:r>
              <w:rPr>
                <w:b w:val="0"/>
                <w:sz w:val="20"/>
              </w:rPr>
              <w:t>-2,050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Bus</w:t>
            </w:r>
          </w:p>
        </w:tc>
        <w:tc>
          <w:tcPr>
            <w:vAlign w:val="center"/>
          </w:tcPr>
          <w:p w:rsidR="001A6775">
            <w:pPr>
              <w:bidi w:val="0"/>
              <w:spacing w:after="0" w:afterAutospacing="1"/>
              <w:jc w:val="right"/>
              <w:rPr>
                <w:b w:val="0"/>
                <w:sz w:val="20"/>
              </w:rPr>
            </w:pPr>
            <w:r>
              <w:rPr>
                <w:b w:val="0"/>
                <w:sz w:val="20"/>
              </w:rPr>
              <w:t>139</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268</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Tram</w:t>
            </w:r>
          </w:p>
        </w:tc>
        <w:tc>
          <w:tcPr>
            <w:vAlign w:val="center"/>
          </w:tcPr>
          <w:p w:rsidR="001A6775">
            <w:pPr>
              <w:bidi w:val="0"/>
              <w:spacing w:after="0" w:afterAutospacing="1"/>
              <w:jc w:val="right"/>
              <w:rPr>
                <w:b w:val="0"/>
                <w:sz w:val="20"/>
              </w:rPr>
            </w:pPr>
            <w:r>
              <w:rPr>
                <w:b w:val="0"/>
                <w:sz w:val="20"/>
              </w:rPr>
              <w:t>244</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984</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-741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Ferry</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Taxi/ride-share</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3</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 - as driver</w:t>
            </w:r>
          </w:p>
        </w:tc>
        <w:tc>
          <w:tcPr>
            <w:vAlign w:val="center"/>
          </w:tcPr>
          <w:p w:rsidR="001A6775">
            <w:pPr>
              <w:bidi w:val="0"/>
              <w:spacing w:after="0" w:afterAutospacing="1"/>
              <w:jc w:val="right"/>
              <w:rPr>
                <w:b w:val="0"/>
                <w:sz w:val="20"/>
              </w:rPr>
            </w:pPr>
            <w:r>
              <w:rPr>
                <w:b w:val="0"/>
                <w:sz w:val="20"/>
              </w:rPr>
              <w:t>3,674</w:t>
            </w:r>
          </w:p>
        </w:tc>
        <w:tc>
          <w:tcPr>
            <w:vAlign w:val="center"/>
          </w:tcPr>
          <w:p w:rsidR="001A6775">
            <w:pPr>
              <w:bidi w:val="0"/>
              <w:spacing w:after="0" w:afterAutospacing="1"/>
              <w:jc w:val="right"/>
              <w:rPr>
                <w:b w:val="0"/>
                <w:sz w:val="20"/>
              </w:rPr>
            </w:pPr>
            <w:r>
              <w:rPr>
                <w:b w:val="0"/>
                <w:sz w:val="20"/>
              </w:rPr>
              <w:t>24.6</w:t>
            </w:r>
          </w:p>
        </w:tc>
        <w:tc>
          <w:tcPr>
            <w:vAlign w:val="center"/>
          </w:tcPr>
          <w:p w:rsidR="001A6775">
            <w:pPr>
              <w:bidi w:val="0"/>
              <w:spacing w:after="0" w:afterAutospacing="1"/>
              <w:jc w:val="right"/>
              <w:rPr>
                <w:b w:val="0"/>
                <w:sz w:val="20"/>
              </w:rPr>
            </w:pPr>
            <w:r>
              <w:rPr>
                <w:b w:val="0"/>
                <w:sz w:val="20"/>
              </w:rPr>
              <w:t>49.9</w:t>
            </w:r>
          </w:p>
        </w:tc>
        <w:tc>
          <w:tcPr>
            <w:vAlign w:val="center"/>
          </w:tcPr>
          <w:p w:rsidR="001A6775">
            <w:pPr>
              <w:bidi w:val="0"/>
              <w:spacing w:after="0" w:afterAutospacing="1"/>
              <w:jc w:val="right"/>
              <w:rPr>
                <w:b w:val="0"/>
                <w:sz w:val="20"/>
              </w:rPr>
            </w:pPr>
            <w:r>
              <w:rPr>
                <w:b w:val="0"/>
                <w:sz w:val="20"/>
              </w:rPr>
              <w:t>5,266</w:t>
            </w:r>
          </w:p>
        </w:tc>
        <w:tc>
          <w:tcPr>
            <w:vAlign w:val="center"/>
          </w:tcPr>
          <w:p w:rsidR="001A6775">
            <w:pPr>
              <w:bidi w:val="0"/>
              <w:spacing w:after="0" w:afterAutospacing="1"/>
              <w:jc w:val="right"/>
              <w:rPr>
                <w:b w:val="0"/>
                <w:sz w:val="20"/>
              </w:rPr>
            </w:pPr>
            <w:r>
              <w:rPr>
                <w:b w:val="0"/>
                <w:sz w:val="20"/>
              </w:rPr>
              <w:t>39.1</w:t>
            </w:r>
          </w:p>
        </w:tc>
        <w:tc>
          <w:tcPr>
            <w:vAlign w:val="center"/>
          </w:tcPr>
          <w:p w:rsidR="001A6775">
            <w:pPr>
              <w:bidi w:val="0"/>
              <w:spacing w:after="0" w:afterAutospacing="1"/>
              <w:jc w:val="right"/>
              <w:rPr>
                <w:b w:val="0"/>
                <w:sz w:val="20"/>
              </w:rPr>
            </w:pPr>
            <w:r>
              <w:rPr>
                <w:b w:val="0"/>
                <w:sz w:val="20"/>
              </w:rPr>
              <w:t>61.8</w:t>
            </w:r>
          </w:p>
        </w:tc>
        <w:tc>
          <w:tcPr>
            <w:vAlign w:val="center"/>
          </w:tcPr>
          <w:p w:rsidR="001A6775">
            <w:pPr>
              <w:bidi w:val="0"/>
              <w:spacing w:after="0" w:afterAutospacing="1"/>
              <w:jc w:val="right"/>
              <w:rPr>
                <w:b w:val="0"/>
                <w:sz w:val="20"/>
              </w:rPr>
            </w:pPr>
            <w:r>
              <w:rPr>
                <w:b w:val="0"/>
                <w:sz w:val="20"/>
              </w:rPr>
              <w:t>-1,592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 - as passenger</w:t>
            </w:r>
          </w:p>
        </w:tc>
        <w:tc>
          <w:tcPr>
            <w:vAlign w:val="center"/>
          </w:tcPr>
          <w:p w:rsidR="001A6775">
            <w:pPr>
              <w:bidi w:val="0"/>
              <w:spacing w:after="0" w:afterAutospacing="1"/>
              <w:jc w:val="right"/>
              <w:rPr>
                <w:b w:val="0"/>
                <w:sz w:val="20"/>
              </w:rPr>
            </w:pPr>
            <w:r>
              <w:rPr>
                <w:b w:val="0"/>
                <w:sz w:val="20"/>
              </w:rPr>
              <w:t>211</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273</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Truck</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7</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Motorbike</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Bicycle</w:t>
            </w:r>
          </w:p>
        </w:tc>
        <w:tc>
          <w:tcPr>
            <w:vAlign w:val="center"/>
          </w:tcPr>
          <w:p w:rsidR="001A6775">
            <w:pPr>
              <w:bidi w:val="0"/>
              <w:spacing w:after="0" w:afterAutospacing="1"/>
              <w:jc w:val="right"/>
              <w:rPr>
                <w:b w:val="0"/>
                <w:sz w:val="20"/>
              </w:rPr>
            </w:pPr>
            <w:r>
              <w:rPr>
                <w:b w:val="0"/>
                <w:sz w:val="20"/>
              </w:rPr>
              <w:t>665</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1,302</w:t>
            </w:r>
          </w:p>
        </w:tc>
        <w:tc>
          <w:tcPr>
            <w:vAlign w:val="center"/>
          </w:tcPr>
          <w:p w:rsidR="001A6775">
            <w:pPr>
              <w:bidi w:val="0"/>
              <w:spacing w:after="0" w:afterAutospacing="1"/>
              <w:jc w:val="right"/>
              <w:rPr>
                <w:b w:val="0"/>
                <w:sz w:val="20"/>
              </w:rPr>
            </w:pPr>
            <w:r>
              <w:rPr>
                <w:b w:val="0"/>
                <w:sz w:val="20"/>
              </w:rPr>
              <w:t>9.7</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-638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Walked only</w:t>
            </w:r>
          </w:p>
        </w:tc>
        <w:tc>
          <w:tcPr>
            <w:vAlign w:val="center"/>
          </w:tcPr>
          <w:p w:rsidR="001A6775">
            <w:pPr>
              <w:bidi w:val="0"/>
              <w:spacing w:after="0" w:afterAutospacing="1"/>
              <w:jc w:val="right"/>
              <w:rPr>
                <w:b w:val="0"/>
                <w:sz w:val="20"/>
              </w:rPr>
            </w:pPr>
            <w:r>
              <w:rPr>
                <w:b w:val="0"/>
                <w:sz w:val="20"/>
              </w:rPr>
              <w:t>366</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450</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-84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w:t>
            </w:r>
          </w:p>
        </w:tc>
        <w:tc>
          <w:tcPr>
            <w:vAlign w:val="center"/>
          </w:tcPr>
          <w:p w:rsidR="001A6775">
            <w:pPr>
              <w:bidi w:val="0"/>
              <w:spacing w:after="0" w:afterAutospacing="1"/>
              <w:jc w:val="right"/>
              <w:rPr>
                <w:b w:val="0"/>
                <w:sz w:val="20"/>
              </w:rPr>
            </w:pPr>
            <w:r>
              <w:rPr>
                <w:b w:val="0"/>
                <w:sz w:val="20"/>
              </w:rPr>
              <w:t>132</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210</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Worked at home</w:t>
            </w:r>
          </w:p>
        </w:tc>
        <w:tc>
          <w:tcPr>
            <w:vAlign w:val="center"/>
          </w:tcPr>
          <w:p w:rsidR="001A6775">
            <w:pPr>
              <w:bidi w:val="0"/>
              <w:spacing w:after="0" w:afterAutospacing="1"/>
              <w:jc w:val="right"/>
              <w:rPr>
                <w:b w:val="0"/>
                <w:sz w:val="20"/>
              </w:rPr>
            </w:pPr>
            <w:r>
              <w:rPr>
                <w:b w:val="0"/>
                <w:sz w:val="20"/>
              </w:rPr>
              <w:t>6,975</w:t>
            </w:r>
          </w:p>
        </w:tc>
        <w:tc>
          <w:tcPr>
            <w:vAlign w:val="center"/>
          </w:tcPr>
          <w:p w:rsidR="001A6775">
            <w:pPr>
              <w:bidi w:val="0"/>
              <w:spacing w:after="0" w:afterAutospacing="1"/>
              <w:jc w:val="right"/>
              <w:rPr>
                <w:b w:val="0"/>
                <w:sz w:val="20"/>
              </w:rPr>
            </w:pPr>
            <w:r>
              <w:rPr>
                <w:b w:val="0"/>
                <w:sz w:val="20"/>
              </w:rPr>
              <w:t>46.7</w:t>
            </w:r>
          </w:p>
        </w:tc>
        <w:tc>
          <w:tcPr>
            <w:vAlign w:val="center"/>
          </w:tcPr>
          <w:p w:rsidR="001A6775">
            <w:pPr>
              <w:bidi w:val="0"/>
              <w:spacing w:after="0" w:afterAutospacing="1"/>
              <w:jc w:val="right"/>
              <w:rPr>
                <w:b w:val="0"/>
                <w:sz w:val="20"/>
              </w:rPr>
            </w:pPr>
            <w:r>
              <w:rPr>
                <w:b w:val="0"/>
                <w:sz w:val="20"/>
              </w:rPr>
              <w:t>25.7</w:t>
            </w:r>
          </w:p>
        </w:tc>
        <w:tc>
          <w:tcPr>
            <w:vAlign w:val="center"/>
          </w:tcPr>
          <w:p w:rsidR="001A6775">
            <w:pPr>
              <w:bidi w:val="0"/>
              <w:spacing w:after="0" w:afterAutospacing="1"/>
              <w:jc w:val="right"/>
              <w:rPr>
                <w:b w:val="0"/>
                <w:sz w:val="20"/>
              </w:rPr>
            </w:pPr>
            <w:r>
              <w:rPr>
                <w:b w:val="0"/>
                <w:sz w:val="20"/>
              </w:rPr>
              <w:t>682</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+6,292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Did not go to work</w:t>
            </w:r>
          </w:p>
        </w:tc>
        <w:tc>
          <w:tcPr>
            <w:vAlign w:val="center"/>
          </w:tcPr>
          <w:p w:rsidR="001A6775">
            <w:pPr>
              <w:bidi w:val="0"/>
              <w:spacing w:after="0" w:afterAutospacing="1"/>
              <w:jc w:val="right"/>
              <w:rPr>
                <w:b w:val="0"/>
                <w:sz w:val="20"/>
              </w:rPr>
            </w:pPr>
            <w:r>
              <w:rPr>
                <w:b w:val="0"/>
                <w:sz w:val="20"/>
              </w:rPr>
              <w:t>1,797</w:t>
            </w:r>
          </w:p>
        </w:tc>
        <w:tc>
          <w:tcPr>
            <w:vAlign w:val="center"/>
          </w:tcPr>
          <w:p w:rsidR="001A6775">
            <w:pPr>
              <w:bidi w:val="0"/>
              <w:spacing w:after="0" w:afterAutospacing="1"/>
              <w:jc w:val="right"/>
              <w:rPr>
                <w:b w:val="0"/>
                <w:sz w:val="20"/>
              </w:rPr>
            </w:pPr>
            <w:r>
              <w:rPr>
                <w:b w:val="0"/>
                <w:sz w:val="20"/>
              </w:rPr>
              <w:t>12.0</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1,190</w:t>
            </w:r>
          </w:p>
        </w:tc>
        <w:tc>
          <w:tcPr>
            <w:vAlign w:val="center"/>
          </w:tcPr>
          <w:p w:rsidR="001A6775">
            <w:pPr>
              <w:bidi w:val="0"/>
              <w:spacing w:after="0" w:afterAutospacing="1"/>
              <w:jc w:val="right"/>
              <w:rPr>
                <w:b w:val="0"/>
                <w:sz w:val="20"/>
              </w:rPr>
            </w:pPr>
            <w:r>
              <w:rPr>
                <w:b w:val="0"/>
                <w:sz w:val="20"/>
              </w:rPr>
              <w:t>8.8</w:t>
            </w:r>
          </w:p>
        </w:tc>
        <w:tc>
          <w:tcPr>
            <w:vAlign w:val="center"/>
          </w:tcPr>
          <w:p w:rsidR="001A6775">
            <w:pPr>
              <w:bidi w:val="0"/>
              <w:spacing w:after="0" w:afterAutospacing="1"/>
              <w:jc w:val="right"/>
              <w:rPr>
                <w:b w:val="0"/>
                <w:sz w:val="20"/>
              </w:rPr>
            </w:pPr>
            <w:r>
              <w:rPr>
                <w:b w:val="0"/>
                <w:sz w:val="20"/>
              </w:rPr>
              <w:t>9.3</w:t>
            </w:r>
          </w:p>
        </w:tc>
        <w:tc>
          <w:tcPr>
            <w:vAlign w:val="center"/>
          </w:tcPr>
          <w:p w:rsidR="001A6775">
            <w:pPr>
              <w:bidi w:val="0"/>
              <w:spacing w:after="0" w:afterAutospacing="1"/>
              <w:jc w:val="right"/>
              <w:rPr>
                <w:b w:val="0"/>
                <w:sz w:val="20"/>
              </w:rPr>
            </w:pPr>
            <w:r>
              <w:rPr>
                <w:b w:val="0"/>
                <w:sz w:val="20"/>
              </w:rPr>
              <w:t>+606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14,928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13,467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+1,461</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In 2021, there were 985 people who caught public transport to work (train, bus, tram or ferry) in Northcote, compared with 3,955 who drove in private vehicles (car – as driver, car – as passenger, motorbike, or truck).</w:t>
      </w:r>
    </w:p>
    <w:p>
      <w:pPr>
        <w:bidi w:val="0"/>
        <w:spacing w:after="280" w:afterAutospacing="1"/>
        <w:rPr>
          <w:rtl w:val="0"/>
        </w:rPr>
      </w:pPr>
      <w:r>
        <w:rPr>
          <w:rtl w:val="0"/>
        </w:rPr>
        <w:t>Analysis of the method of travel to work of the residents in Northcote in 2021, compared to Victoria, shows that 6.6% used public transport, while 26.0% used a private vehicle, compared with 4.3% and 53.4% respectively in Victoria.</w:t>
      </w:r>
    </w:p>
    <w:p>
      <w:pPr>
        <w:bidi w:val="0"/>
        <w:spacing w:after="280" w:afterAutospacing="1"/>
        <w:rPr>
          <w:rtl w:val="0"/>
        </w:rPr>
      </w:pPr>
      <w:r>
        <w:rPr>
          <w:rtl w:val="0"/>
        </w:rPr>
        <w:t>The major differences in persons between the method of travel to work of Northcote and Victoria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persons who worked at home (46.7% compared to 25.7%)</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persons who travelled by bicycle (4.5% compared to 0.7%)</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of persons who travelled by car (as driver) (24.6% compared to 49.9%)</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persons who travelled by car (as a passenger) (1.4% compared to 3.5%)</w:t>
      </w:r>
    </w:p>
    <w:p w:rsidR="001A6775">
      <w:pPr>
        <w:bidi w:val="0"/>
        <w:spacing w:after="280" w:afterAutospacing="1"/>
      </w:pPr>
      <w:r>
        <w:rPr>
          <w:rtl w:val="0"/>
        </w:rPr>
        <w:t>The number of employed people in Northcote increased by 1,461 between 2016 and 2021.</w:t>
      </w:r>
    </w:p>
    <w:p>
      <w:pPr>
        <w:bidi w:val="0"/>
        <w:spacing w:after="280" w:afterAutospacing="1"/>
        <w:rPr>
          <w:rtl w:val="0"/>
        </w:rPr>
      </w:pPr>
      <w:r>
        <w:rPr>
          <w:rtl w:val="0"/>
        </w:rPr>
        <w:t>The largest changes in the method of travel to work by resident population in Northcote between 2016 and 2021 were for those nominated:</w:t>
      </w:r>
    </w:p>
    <w:p>
      <w:pPr>
        <w:numPr>
          <w:ilvl w:val="0"/>
          <w:numId w:val="2"/>
        </w:numPr>
        <w:bidi w:val="0"/>
        <w:spacing w:after="0" w:afterAutospacing="0"/>
        <w:rPr>
          <w:rtl w:val="0"/>
        </w:rPr>
      </w:pPr>
      <w:r>
        <w:rPr>
          <w:rtl w:val="0"/>
        </w:rPr>
        <w:t>Worked at home (+6,292 persons)</w:t>
      </w:r>
    </w:p>
    <w:p>
      <w:pPr>
        <w:numPr>
          <w:ilvl w:val="0"/>
          <w:numId w:val="2"/>
        </w:numPr>
        <w:bidi w:val="0"/>
        <w:spacing w:after="0" w:afterAutospacing="0"/>
        <w:ind w:left="720"/>
        <w:rPr>
          <w:rtl w:val="0"/>
        </w:rPr>
      </w:pPr>
      <w:r>
        <w:rPr>
          <w:rtl w:val="0"/>
        </w:rPr>
        <w:t>Train (-2,050 persons)</w:t>
      </w:r>
    </w:p>
    <w:p>
      <w:pPr>
        <w:numPr>
          <w:ilvl w:val="0"/>
          <w:numId w:val="2"/>
        </w:numPr>
        <w:bidi w:val="0"/>
        <w:spacing w:after="0" w:afterAutospacing="0"/>
        <w:ind w:left="720"/>
        <w:rPr>
          <w:rtl w:val="0"/>
        </w:rPr>
      </w:pPr>
      <w:r>
        <w:rPr>
          <w:rtl w:val="0"/>
        </w:rPr>
        <w:t>Car - as driver (-1,592 persons)</w:t>
      </w:r>
    </w:p>
    <w:p>
      <w:pPr>
        <w:numPr>
          <w:ilvl w:val="0"/>
          <w:numId w:val="2"/>
        </w:numPr>
        <w:bidi w:val="0"/>
        <w:spacing w:after="280" w:afterAutospacing="1"/>
        <w:ind w:left="720"/>
        <w:rPr>
          <w:rtl w:val="0"/>
        </w:rPr>
      </w:pPr>
      <w:r>
        <w:rPr>
          <w:rtl w:val="0"/>
        </w:rPr>
        <w:t>Tram (-741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