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Cessnock City Council</w:t>
      </w:r>
    </w:p>
    <w:p w:rsidR="001A6775">
      <w:pPr>
        <w:pStyle w:val="Heading4"/>
        <w:bidi w:val="0"/>
        <w:spacing w:after="280" w:afterAutospacing="1"/>
      </w:pPr>
      <w:r>
        <w:rPr>
          <w:rtl w:val="0"/>
        </w:rPr>
        <w:t>Home</w:t>
      </w:r>
    </w:p>
    <w:p w:rsidR="001A6775">
      <w:pPr>
        <w:bidi w:val="0"/>
        <w:spacing w:after="280" w:afterAutospacing="1"/>
      </w:pPr>
      <w:r>
        <w:t>Cessnock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