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1.1.0.0 -->
  <w:body>
    <w:p w:rsidR="001A6775">
      <w:pPr>
        <w:pStyle w:val="Heading3"/>
        <w:bidi w:val="0"/>
        <w:spacing w:after="280" w:afterAutospacing="1"/>
      </w:pPr>
      <w:r>
        <w:rPr>
          <w:rtl w:val="0"/>
        </w:rPr>
        <w:t>City of Greater Bendigo</w:t>
      </w:r>
    </w:p>
    <w:p w:rsidR="001A6775">
      <w:pPr>
        <w:pStyle w:val="Heading4"/>
        <w:bidi w:val="0"/>
        <w:spacing w:after="280" w:afterAutospacing="1"/>
      </w:pPr>
      <w:r>
        <w:rPr>
          <w:rtl w:val="0"/>
        </w:rPr>
        <w:t>Industry sector of employment</w:t>
      </w:r>
    </w:p>
    <w:p w:rsidR="001A6775">
      <w:pPr>
        <w:bidi w:val="0"/>
        <w:spacing w:after="280" w:afterAutospacing="1"/>
      </w:pPr>
      <w:r>
        <w:rPr>
          <w:rtl w:val="0"/>
        </w:rPr>
        <w:t xml:space="preserve">The City of Greater Bendigo's industry statistics identify the industry sectors in which the residents work (which may be within the residing area or elsewhere). This will be influenced by the skill base and socio-economic status of the residents as well as the industries and employment opportunities present in the region. </w:t>
      </w:r>
    </w:p>
    <w:p>
      <w:pPr>
        <w:bidi w:val="0"/>
        <w:spacing w:after="280" w:afterAutospacing="1"/>
      </w:pPr>
      <w:r>
        <w:rPr>
          <w:rtl w:val="0"/>
        </w:rPr>
        <w:t xml:space="preserve">When viewed in conjunction with </w:t>
      </w:r>
      <w:r>
        <w:rPr>
          <w:rtl w:val="0"/>
        </w:rPr>
        <w:fldChar w:fldCharType="begin"/>
      </w:r>
      <w:r>
        <w:rPr>
          <w:rtl w:val="0"/>
        </w:rPr>
        <w:instrText xml:space="preserve"> HYPERLINK "residents?[QS]" </w:instrText>
      </w:r>
      <w:r>
        <w:rPr>
          <w:rtl w:val="0"/>
        </w:rPr>
        <w:fldChar w:fldCharType="separate"/>
      </w:r>
      <w:r>
        <w:rPr>
          <w:color w:val="0000FF"/>
          <w:u w:val="single"/>
          <w:rtl w:val="0"/>
        </w:rPr>
        <w:t>Residents Place of Work</w:t>
      </w:r>
      <w:r>
        <w:rPr>
          <w:rtl w:val="0"/>
        </w:rPr>
        <w:fldChar w:fldCharType="end"/>
      </w:r>
      <w:r>
        <w:rPr>
          <w:rtl w:val="0"/>
        </w:rPr>
        <w:t xml:space="preserve"> data and </w:t>
      </w:r>
      <w:r>
        <w:rPr>
          <w:rtl w:val="0"/>
        </w:rPr>
        <w:fldChar w:fldCharType="begin"/>
      </w:r>
      <w:r>
        <w:rPr>
          <w:rtl w:val="0"/>
        </w:rPr>
        <w:instrText xml:space="preserve"> HYPERLINK "travel-to-work?[QS]" </w:instrText>
      </w:r>
      <w:r>
        <w:rPr>
          <w:rtl w:val="0"/>
        </w:rPr>
        <w:fldChar w:fldCharType="separate"/>
      </w:r>
      <w:r>
        <w:rPr>
          <w:color w:val="0000FF"/>
          <w:u w:val="single"/>
          <w:rtl w:val="0"/>
        </w:rPr>
        <w:t>Method of Travel to Work</w:t>
      </w:r>
      <w:r>
        <w:rPr>
          <w:rtl w:val="0"/>
        </w:rPr>
        <w:fldChar w:fldCharType="end"/>
      </w:r>
      <w:r>
        <w:rPr>
          <w:rtl w:val="0"/>
        </w:rPr>
        <w:t>, industry sector statistics provide insights into the relationship between the economic and residential role of the area.</w:t>
      </w:r>
    </w:p>
    <w:tbl>
      <w:tblPr>
        <w:tblW w:w="5000" w:type="pct"/>
        <w:jc w:val="left"/>
        <w:tblBorders>
          <w:top w:val="nil"/>
          <w:left w:val="nil"/>
          <w:bottom w:val="nil"/>
          <w:right w:val="nil"/>
          <w:insideH w:val="nil"/>
          <w:insideV w:val="nil"/>
        </w:tblBorders>
        <w:tblCellMar>
          <w:left w:w="108" w:type="dxa"/>
          <w:right w:w="108" w:type="dxa"/>
        </w:tblCellMar>
      </w:tblPr>
      <w:tblGrid>
        <w:gridCol w:w="1100"/>
        <w:gridCol w:w="1100"/>
        <w:gridCol w:w="1100"/>
        <w:gridCol w:w="1100"/>
        <w:gridCol w:w="1100"/>
        <w:gridCol w:w="1100"/>
        <w:gridCol w:w="1100"/>
        <w:gridCol w:w="1100"/>
      </w:tblGrid>
      <w:tr>
        <w:tblPrEx>
          <w:tblW w:w="5000" w:type="pct"/>
          <w:jc w:val="left"/>
          <w:tblBorders>
            <w:top w:val="nil"/>
            <w:left w:val="nil"/>
            <w:bottom w:val="nil"/>
            <w:right w:val="nil"/>
            <w:insideH w:val="nil"/>
            <w:insideV w:val="nil"/>
          </w:tblBorders>
          <w:tblCellMar>
            <w:left w:w="108" w:type="dxa"/>
            <w:right w:w="108" w:type="dxa"/>
          </w:tblCellMar>
        </w:tblPrEx>
        <w:trPr>
          <w:jc w:val="left"/>
        </w:trPr>
        <w:tc>
          <w:tcPr>
            <w:hMerge w:val="restart"/>
          </w:tcPr>
          <w:p w:rsidR="001A6775">
            <w:pPr>
              <w:bidi w:val="0"/>
              <w:spacing w:after="0" w:afterAutospacing="1"/>
              <w:jc w:val="left"/>
              <w:rPr>
                <w:b/>
                <w:sz w:val="20"/>
              </w:rPr>
            </w:pPr>
            <w:r>
              <w:rPr>
                <w:b/>
                <w:sz w:val="30"/>
              </w:rPr>
              <w:t>Industry sector of employment</w:t>
            </w: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p w:rsidR="001A6775">
            <w:pPr>
              <w:bidi w:val="0"/>
              <w:spacing w:after="0" w:afterAutospacing="1"/>
              <w:jc w:val="left"/>
              <w:rPr>
                <w:b/>
                <w:sz w:val="30"/>
              </w:rPr>
            </w:pPr>
            <w:r>
              <w:rPr>
                <w:b/>
                <w:sz w:val="20"/>
              </w:rPr>
              <w:t>City of Greater Bendigo - Employed persons (Usual residence)</w:t>
            </w:r>
          </w:p>
        </w:tc>
        <w:tc>
          <w:tcPr>
            <w:hMerge w:val="restart"/>
          </w:tcPr>
          <w:p w:rsidR="001A6775">
            <w:pPr>
              <w:bidi w:val="0"/>
              <w:spacing w:after="0" w:afterAutospacing="1"/>
              <w:jc w:val="center"/>
              <w:rPr>
                <w:b/>
                <w:sz w:val="20"/>
              </w:rPr>
            </w:pPr>
            <w:r>
              <w:rPr>
                <w:b/>
                <w:sz w:val="30"/>
              </w:rPr>
              <w:t>2021</w:t>
            </w:r>
          </w:p>
        </w:tc>
        <w:tc>
          <w:tcPr>
            <w:hMerge/>
          </w:tcPr>
          <w:p w:rsidR="001A6775">
            <w:pPr>
              <w:bidi w:val="0"/>
              <w:spacing w:after="0" w:afterAutospacing="1"/>
              <w:jc w:val="center"/>
              <w:rPr>
                <w:b/>
                <w:sz w:val="30"/>
              </w:rPr>
            </w:pPr>
          </w:p>
        </w:tc>
        <w:tc>
          <w:tcPr>
            <w:hMerge/>
          </w:tcPr>
          <w:p w:rsidR="001A6775">
            <w:pPr>
              <w:bidi w:val="0"/>
              <w:spacing w:after="0" w:afterAutospacing="1"/>
              <w:jc w:val="center"/>
              <w:rPr>
                <w:b/>
                <w:sz w:val="30"/>
              </w:rPr>
            </w:pPr>
          </w:p>
        </w:tc>
        <w:tc>
          <w:tcPr>
            <w:hMerge w:val="restart"/>
          </w:tcPr>
          <w:p w:rsidR="001A6775">
            <w:pPr>
              <w:bidi w:val="0"/>
              <w:spacing w:after="0" w:afterAutospacing="1"/>
              <w:jc w:val="center"/>
              <w:rPr>
                <w:b/>
                <w:sz w:val="30"/>
              </w:rPr>
            </w:pPr>
            <w:r>
              <w:rPr>
                <w:b/>
                <w:sz w:val="30"/>
              </w:rPr>
              <w:t>2016</w:t>
            </w:r>
          </w:p>
        </w:tc>
        <w:tc>
          <w:tcPr>
            <w:hMerge/>
          </w:tcPr>
          <w:p w:rsidR="001A6775">
            <w:pPr>
              <w:bidi w:val="0"/>
              <w:spacing w:after="0" w:afterAutospacing="1"/>
              <w:jc w:val="center"/>
              <w:rPr>
                <w:b/>
                <w:sz w:val="30"/>
              </w:rPr>
            </w:pPr>
          </w:p>
        </w:tc>
        <w:tc>
          <w:tcPr>
            <w:hMerge/>
          </w:tcPr>
          <w:p w:rsidR="001A6775">
            <w:pPr>
              <w:bidi w:val="0"/>
              <w:spacing w:after="0" w:afterAutospacing="1"/>
              <w:jc w:val="center"/>
              <w:rPr>
                <w:b/>
                <w:sz w:val="30"/>
              </w:rPr>
            </w:pPr>
          </w:p>
        </w:tc>
        <w:tc>
          <w:tcPr>
            <w:vAlign w:val="bottom"/>
          </w:tcPr>
          <w:p w:rsidR="001A6775">
            <w:pPr>
              <w:bidi w:val="0"/>
              <w:spacing w:after="0" w:afterAutospacing="1"/>
              <w:jc w:val="right"/>
              <w:rPr>
                <w:b/>
                <w:sz w:val="30"/>
              </w:rPr>
            </w:pPr>
            <w:r>
              <w:rPr>
                <w:b/>
                <w:sz w:val="20"/>
              </w:rPr>
              <w:t>Change</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sz w:val="20"/>
              </w:rPr>
            </w:pPr>
            <w:r>
              <w:rPr>
                <w:b/>
                <w:sz w:val="20"/>
              </w:rPr>
              <w:t>Industry sector</w:t>
            </w:r>
          </w:p>
        </w:tc>
        <w:tc>
          <w:tcPr>
            <w:vAlign w:val="center"/>
          </w:tcPr>
          <w:p w:rsidR="001A6775">
            <w:pPr>
              <w:bidi w:val="0"/>
              <w:spacing w:after="0" w:afterAutospacing="1"/>
              <w:jc w:val="right"/>
              <w:rPr>
                <w:b/>
                <w:sz w:val="20"/>
              </w:rPr>
            </w:pPr>
            <w:r>
              <w:rPr>
                <w:b/>
                <w:sz w:val="20"/>
              </w:rPr>
              <w:t>Number</w:t>
            </w:r>
          </w:p>
        </w:tc>
        <w:tc>
          <w:tcPr>
            <w:vAlign w:val="center"/>
          </w:tcPr>
          <w:p w:rsidR="001A6775">
            <w:pPr>
              <w:bidi w:val="0"/>
              <w:spacing w:after="0" w:afterAutospacing="1"/>
              <w:jc w:val="right"/>
              <w:rPr>
                <w:b/>
                <w:sz w:val="20"/>
              </w:rPr>
            </w:pPr>
            <w:r>
              <w:rPr>
                <w:b/>
                <w:sz w:val="20"/>
              </w:rPr>
              <w:t>%</w:t>
            </w:r>
          </w:p>
        </w:tc>
        <w:tc>
          <w:tcPr>
            <w:vAlign w:val="center"/>
          </w:tcPr>
          <w:p w:rsidR="001A6775">
            <w:pPr>
              <w:bidi w:val="0"/>
              <w:spacing w:after="0" w:afterAutospacing="1"/>
              <w:jc w:val="right"/>
              <w:rPr>
                <w:b/>
                <w:sz w:val="20"/>
              </w:rPr>
            </w:pPr>
            <w:r>
              <w:rPr>
                <w:b/>
                <w:sz w:val="20"/>
              </w:rPr>
              <w:t>Regional VIC %</w:t>
            </w:r>
          </w:p>
        </w:tc>
        <w:tc>
          <w:tcPr>
            <w:vAlign w:val="center"/>
          </w:tcPr>
          <w:p w:rsidR="001A6775">
            <w:pPr>
              <w:bidi w:val="0"/>
              <w:spacing w:after="0" w:afterAutospacing="1"/>
              <w:jc w:val="right"/>
              <w:rPr>
                <w:b/>
                <w:sz w:val="20"/>
              </w:rPr>
            </w:pPr>
            <w:r>
              <w:rPr>
                <w:b/>
                <w:sz w:val="20"/>
              </w:rPr>
              <w:t>Number</w:t>
            </w:r>
          </w:p>
        </w:tc>
        <w:tc>
          <w:tcPr>
            <w:vAlign w:val="center"/>
          </w:tcPr>
          <w:p w:rsidR="001A6775">
            <w:pPr>
              <w:bidi w:val="0"/>
              <w:spacing w:after="0" w:afterAutospacing="1"/>
              <w:jc w:val="right"/>
              <w:rPr>
                <w:b/>
                <w:sz w:val="20"/>
              </w:rPr>
            </w:pPr>
            <w:r>
              <w:rPr>
                <w:b/>
                <w:sz w:val="20"/>
              </w:rPr>
              <w:t>%</w:t>
            </w:r>
          </w:p>
        </w:tc>
        <w:tc>
          <w:tcPr>
            <w:vAlign w:val="center"/>
          </w:tcPr>
          <w:p w:rsidR="001A6775">
            <w:pPr>
              <w:bidi w:val="0"/>
              <w:spacing w:after="0" w:afterAutospacing="1"/>
              <w:jc w:val="right"/>
              <w:rPr>
                <w:b/>
                <w:sz w:val="20"/>
              </w:rPr>
            </w:pPr>
            <w:r>
              <w:rPr>
                <w:b/>
                <w:sz w:val="20"/>
              </w:rPr>
              <w:t>Regional VIC %</w:t>
            </w:r>
          </w:p>
        </w:tc>
        <w:tc>
          <w:tcPr>
            <w:vAlign w:val="center"/>
          </w:tcPr>
          <w:p w:rsidR="001A6775">
            <w:pPr>
              <w:bidi w:val="0"/>
              <w:spacing w:after="0" w:afterAutospacing="1"/>
              <w:jc w:val="right"/>
              <w:rPr>
                <w:b/>
                <w:sz w:val="20"/>
              </w:rPr>
            </w:pPr>
            <w:r>
              <w:rPr>
                <w:b/>
                <w:sz w:val="20"/>
              </w:rPr>
              <w:t>2016 to 2021</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Agriculture, Forestry and Fishing</w:t>
            </w:r>
          </w:p>
        </w:tc>
        <w:tc>
          <w:tcPr>
            <w:vAlign w:val="center"/>
          </w:tcPr>
          <w:p w:rsidR="001A6775">
            <w:pPr>
              <w:bidi w:val="0"/>
              <w:spacing w:after="0" w:afterAutospacing="1"/>
              <w:jc w:val="right"/>
              <w:rPr>
                <w:b w:val="0"/>
                <w:sz w:val="20"/>
              </w:rPr>
            </w:pPr>
            <w:r>
              <w:rPr>
                <w:b w:val="0"/>
                <w:sz w:val="20"/>
              </w:rPr>
              <w:t>1,295</w:t>
            </w:r>
          </w:p>
        </w:tc>
        <w:tc>
          <w:tcPr>
            <w:vAlign w:val="center"/>
          </w:tcPr>
          <w:p w:rsidR="001A6775">
            <w:pPr>
              <w:bidi w:val="0"/>
              <w:spacing w:after="0" w:afterAutospacing="1"/>
              <w:jc w:val="right"/>
              <w:rPr>
                <w:b w:val="0"/>
                <w:sz w:val="20"/>
              </w:rPr>
            </w:pPr>
            <w:r>
              <w:rPr>
                <w:b w:val="0"/>
                <w:sz w:val="20"/>
              </w:rPr>
              <w:t>2.3</w:t>
            </w:r>
          </w:p>
        </w:tc>
        <w:tc>
          <w:tcPr>
            <w:vAlign w:val="center"/>
          </w:tcPr>
          <w:p w:rsidR="001A6775">
            <w:pPr>
              <w:bidi w:val="0"/>
              <w:spacing w:after="0" w:afterAutospacing="1"/>
              <w:jc w:val="right"/>
              <w:rPr>
                <w:b w:val="0"/>
                <w:sz w:val="20"/>
              </w:rPr>
            </w:pPr>
            <w:r>
              <w:rPr>
                <w:b w:val="0"/>
                <w:sz w:val="20"/>
              </w:rPr>
              <w:t>7.2</w:t>
            </w:r>
          </w:p>
        </w:tc>
        <w:tc>
          <w:tcPr>
            <w:vAlign w:val="center"/>
          </w:tcPr>
          <w:p w:rsidR="001A6775">
            <w:pPr>
              <w:bidi w:val="0"/>
              <w:spacing w:after="0" w:afterAutospacing="1"/>
              <w:jc w:val="right"/>
              <w:rPr>
                <w:b w:val="0"/>
                <w:sz w:val="20"/>
              </w:rPr>
            </w:pPr>
            <w:r>
              <w:rPr>
                <w:b w:val="0"/>
                <w:sz w:val="20"/>
              </w:rPr>
              <w:t>1,292</w:t>
            </w:r>
          </w:p>
        </w:tc>
        <w:tc>
          <w:tcPr>
            <w:vAlign w:val="center"/>
          </w:tcPr>
          <w:p w:rsidR="001A6775">
            <w:pPr>
              <w:bidi w:val="0"/>
              <w:spacing w:after="0" w:afterAutospacing="1"/>
              <w:jc w:val="right"/>
              <w:rPr>
                <w:b w:val="0"/>
                <w:sz w:val="20"/>
              </w:rPr>
            </w:pPr>
            <w:r>
              <w:rPr>
                <w:b w:val="0"/>
                <w:sz w:val="20"/>
              </w:rPr>
              <w:t>2.7</w:t>
            </w:r>
          </w:p>
        </w:tc>
        <w:tc>
          <w:tcPr>
            <w:vAlign w:val="center"/>
          </w:tcPr>
          <w:p w:rsidR="001A6775">
            <w:pPr>
              <w:bidi w:val="0"/>
              <w:spacing w:after="0" w:afterAutospacing="1"/>
              <w:jc w:val="right"/>
              <w:rPr>
                <w:b w:val="0"/>
                <w:sz w:val="20"/>
              </w:rPr>
            </w:pPr>
            <w:r>
              <w:rPr>
                <w:b w:val="0"/>
                <w:sz w:val="20"/>
              </w:rPr>
              <w:t>7.7</w:t>
            </w:r>
          </w:p>
        </w:tc>
        <w:tc>
          <w:tcPr>
            <w:vAlign w:val="center"/>
          </w:tcPr>
          <w:p w:rsidR="001A6775">
            <w:pPr>
              <w:bidi w:val="0"/>
              <w:spacing w:after="0" w:afterAutospacing="1"/>
              <w:jc w:val="right"/>
              <w:rPr>
                <w:b w:val="0"/>
                <w:sz w:val="20"/>
              </w:rPr>
            </w:pPr>
            <w:r>
              <w:rPr>
                <w:b w:val="0"/>
                <w:sz w:val="20"/>
              </w:rPr>
              <w:t>+3</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Mining</w:t>
            </w:r>
          </w:p>
        </w:tc>
        <w:tc>
          <w:tcPr>
            <w:vAlign w:val="center"/>
          </w:tcPr>
          <w:p w:rsidR="001A6775">
            <w:pPr>
              <w:bidi w:val="0"/>
              <w:spacing w:after="0" w:afterAutospacing="1"/>
              <w:jc w:val="right"/>
              <w:rPr>
                <w:b w:val="0"/>
                <w:sz w:val="20"/>
              </w:rPr>
            </w:pPr>
            <w:r>
              <w:rPr>
                <w:b w:val="0"/>
                <w:sz w:val="20"/>
              </w:rPr>
              <w:t>1,131</w:t>
            </w:r>
          </w:p>
        </w:tc>
        <w:tc>
          <w:tcPr>
            <w:vAlign w:val="center"/>
          </w:tcPr>
          <w:p w:rsidR="001A6775">
            <w:pPr>
              <w:bidi w:val="0"/>
              <w:spacing w:after="0" w:afterAutospacing="1"/>
              <w:jc w:val="right"/>
              <w:rPr>
                <w:b w:val="0"/>
                <w:sz w:val="20"/>
              </w:rPr>
            </w:pPr>
            <w:r>
              <w:rPr>
                <w:b w:val="0"/>
                <w:sz w:val="20"/>
              </w:rPr>
              <w:t>2.0</w:t>
            </w:r>
          </w:p>
        </w:tc>
        <w:tc>
          <w:tcPr>
            <w:vAlign w:val="center"/>
          </w:tcPr>
          <w:p w:rsidR="001A6775">
            <w:pPr>
              <w:bidi w:val="0"/>
              <w:spacing w:after="0" w:afterAutospacing="1"/>
              <w:jc w:val="right"/>
              <w:rPr>
                <w:b w:val="0"/>
                <w:sz w:val="20"/>
              </w:rPr>
            </w:pPr>
            <w:r>
              <w:rPr>
                <w:b w:val="0"/>
                <w:sz w:val="20"/>
              </w:rPr>
              <w:t>0.7</w:t>
            </w:r>
          </w:p>
        </w:tc>
        <w:tc>
          <w:tcPr>
            <w:vAlign w:val="center"/>
          </w:tcPr>
          <w:p w:rsidR="001A6775">
            <w:pPr>
              <w:bidi w:val="0"/>
              <w:spacing w:after="0" w:afterAutospacing="1"/>
              <w:jc w:val="right"/>
              <w:rPr>
                <w:b w:val="0"/>
                <w:sz w:val="20"/>
              </w:rPr>
            </w:pPr>
            <w:r>
              <w:rPr>
                <w:b w:val="0"/>
                <w:sz w:val="20"/>
              </w:rPr>
              <w:t>800</w:t>
            </w:r>
          </w:p>
        </w:tc>
        <w:tc>
          <w:tcPr>
            <w:vAlign w:val="center"/>
          </w:tcPr>
          <w:p w:rsidR="001A6775">
            <w:pPr>
              <w:bidi w:val="0"/>
              <w:spacing w:after="0" w:afterAutospacing="1"/>
              <w:jc w:val="right"/>
              <w:rPr>
                <w:b w:val="0"/>
                <w:sz w:val="20"/>
              </w:rPr>
            </w:pPr>
            <w:r>
              <w:rPr>
                <w:b w:val="0"/>
                <w:sz w:val="20"/>
              </w:rPr>
              <w:t>1.6</w:t>
            </w:r>
          </w:p>
        </w:tc>
        <w:tc>
          <w:tcPr>
            <w:vAlign w:val="center"/>
          </w:tcPr>
          <w:p w:rsidR="001A6775">
            <w:pPr>
              <w:bidi w:val="0"/>
              <w:spacing w:after="0" w:afterAutospacing="1"/>
              <w:jc w:val="right"/>
              <w:rPr>
                <w:b w:val="0"/>
                <w:sz w:val="20"/>
              </w:rPr>
            </w:pPr>
            <w:r>
              <w:rPr>
                <w:b w:val="0"/>
                <w:sz w:val="20"/>
              </w:rPr>
              <w:t>0.7</w:t>
            </w:r>
          </w:p>
        </w:tc>
        <w:tc>
          <w:tcPr>
            <w:vAlign w:val="center"/>
          </w:tcPr>
          <w:p w:rsidR="001A6775">
            <w:pPr>
              <w:bidi w:val="0"/>
              <w:spacing w:after="0" w:afterAutospacing="1"/>
              <w:jc w:val="right"/>
              <w:rPr>
                <w:b w:val="0"/>
                <w:sz w:val="20"/>
              </w:rPr>
            </w:pPr>
            <w:r>
              <w:rPr>
                <w:b w:val="0"/>
                <w:sz w:val="20"/>
              </w:rPr>
              <w:t>+331</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Manufacturing</w:t>
            </w:r>
          </w:p>
        </w:tc>
        <w:tc>
          <w:tcPr>
            <w:vAlign w:val="center"/>
          </w:tcPr>
          <w:p w:rsidR="001A6775">
            <w:pPr>
              <w:bidi w:val="0"/>
              <w:spacing w:after="0" w:afterAutospacing="1"/>
              <w:jc w:val="right"/>
              <w:rPr>
                <w:b w:val="0"/>
                <w:sz w:val="20"/>
              </w:rPr>
            </w:pPr>
            <w:r>
              <w:rPr>
                <w:b w:val="0"/>
                <w:sz w:val="20"/>
              </w:rPr>
              <w:t>4,706</w:t>
            </w:r>
          </w:p>
        </w:tc>
        <w:tc>
          <w:tcPr>
            <w:vAlign w:val="center"/>
          </w:tcPr>
          <w:p w:rsidR="001A6775">
            <w:pPr>
              <w:bidi w:val="0"/>
              <w:spacing w:after="0" w:afterAutospacing="1"/>
              <w:jc w:val="right"/>
              <w:rPr>
                <w:b w:val="0"/>
                <w:sz w:val="20"/>
              </w:rPr>
            </w:pPr>
            <w:r>
              <w:rPr>
                <w:b w:val="0"/>
                <w:sz w:val="20"/>
              </w:rPr>
              <w:t>8.4</w:t>
            </w:r>
          </w:p>
        </w:tc>
        <w:tc>
          <w:tcPr>
            <w:vAlign w:val="center"/>
          </w:tcPr>
          <w:p w:rsidR="001A6775">
            <w:pPr>
              <w:bidi w:val="0"/>
              <w:spacing w:after="0" w:afterAutospacing="1"/>
              <w:jc w:val="right"/>
              <w:rPr>
                <w:b w:val="0"/>
                <w:sz w:val="20"/>
              </w:rPr>
            </w:pPr>
            <w:r>
              <w:rPr>
                <w:b w:val="0"/>
                <w:sz w:val="20"/>
              </w:rPr>
              <w:t>7.4</w:t>
            </w:r>
          </w:p>
        </w:tc>
        <w:tc>
          <w:tcPr>
            <w:vAlign w:val="center"/>
          </w:tcPr>
          <w:p w:rsidR="001A6775">
            <w:pPr>
              <w:bidi w:val="0"/>
              <w:spacing w:after="0" w:afterAutospacing="1"/>
              <w:jc w:val="right"/>
              <w:rPr>
                <w:b w:val="0"/>
                <w:sz w:val="20"/>
              </w:rPr>
            </w:pPr>
            <w:r>
              <w:rPr>
                <w:b w:val="0"/>
                <w:sz w:val="20"/>
              </w:rPr>
              <w:t>4,210</w:t>
            </w:r>
          </w:p>
        </w:tc>
        <w:tc>
          <w:tcPr>
            <w:vAlign w:val="center"/>
          </w:tcPr>
          <w:p w:rsidR="001A6775">
            <w:pPr>
              <w:bidi w:val="0"/>
              <w:spacing w:after="0" w:afterAutospacing="1"/>
              <w:jc w:val="right"/>
              <w:rPr>
                <w:b w:val="0"/>
                <w:sz w:val="20"/>
              </w:rPr>
            </w:pPr>
            <w:r>
              <w:rPr>
                <w:b w:val="0"/>
                <w:sz w:val="20"/>
              </w:rPr>
              <w:t>8.7</w:t>
            </w:r>
          </w:p>
        </w:tc>
        <w:tc>
          <w:tcPr>
            <w:vAlign w:val="center"/>
          </w:tcPr>
          <w:p w:rsidR="001A6775">
            <w:pPr>
              <w:bidi w:val="0"/>
              <w:spacing w:after="0" w:afterAutospacing="1"/>
              <w:jc w:val="right"/>
              <w:rPr>
                <w:b w:val="0"/>
                <w:sz w:val="20"/>
              </w:rPr>
            </w:pPr>
            <w:r>
              <w:rPr>
                <w:b w:val="0"/>
                <w:sz w:val="20"/>
              </w:rPr>
              <w:t>8.1</w:t>
            </w:r>
          </w:p>
        </w:tc>
        <w:tc>
          <w:tcPr>
            <w:vAlign w:val="center"/>
          </w:tcPr>
          <w:p w:rsidR="001A6775">
            <w:pPr>
              <w:bidi w:val="0"/>
              <w:spacing w:after="0" w:afterAutospacing="1"/>
              <w:jc w:val="right"/>
              <w:rPr>
                <w:b w:val="0"/>
                <w:sz w:val="20"/>
              </w:rPr>
            </w:pPr>
            <w:r>
              <w:rPr>
                <w:b w:val="0"/>
                <w:sz w:val="20"/>
              </w:rPr>
              <w:t>+496</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Electricity, Gas, Water and Waste Services</w:t>
            </w:r>
          </w:p>
        </w:tc>
        <w:tc>
          <w:tcPr>
            <w:vAlign w:val="center"/>
          </w:tcPr>
          <w:p w:rsidR="001A6775">
            <w:pPr>
              <w:bidi w:val="0"/>
              <w:spacing w:after="0" w:afterAutospacing="1"/>
              <w:jc w:val="right"/>
              <w:rPr>
                <w:b w:val="0"/>
                <w:sz w:val="20"/>
              </w:rPr>
            </w:pPr>
            <w:r>
              <w:rPr>
                <w:b w:val="0"/>
                <w:sz w:val="20"/>
              </w:rPr>
              <w:t>704</w:t>
            </w:r>
          </w:p>
        </w:tc>
        <w:tc>
          <w:tcPr>
            <w:vAlign w:val="center"/>
          </w:tcPr>
          <w:p w:rsidR="001A6775">
            <w:pPr>
              <w:bidi w:val="0"/>
              <w:spacing w:after="0" w:afterAutospacing="1"/>
              <w:jc w:val="right"/>
              <w:rPr>
                <w:b w:val="0"/>
                <w:sz w:val="20"/>
              </w:rPr>
            </w:pPr>
            <w:r>
              <w:rPr>
                <w:b w:val="0"/>
                <w:sz w:val="20"/>
              </w:rPr>
              <w:t>1.3</w:t>
            </w:r>
          </w:p>
        </w:tc>
        <w:tc>
          <w:tcPr>
            <w:vAlign w:val="center"/>
          </w:tcPr>
          <w:p w:rsidR="001A6775">
            <w:pPr>
              <w:bidi w:val="0"/>
              <w:spacing w:after="0" w:afterAutospacing="1"/>
              <w:jc w:val="right"/>
              <w:rPr>
                <w:b w:val="0"/>
                <w:sz w:val="20"/>
              </w:rPr>
            </w:pPr>
            <w:r>
              <w:rPr>
                <w:b w:val="0"/>
                <w:sz w:val="20"/>
              </w:rPr>
              <w:t>1.4</w:t>
            </w:r>
          </w:p>
        </w:tc>
        <w:tc>
          <w:tcPr>
            <w:vAlign w:val="center"/>
          </w:tcPr>
          <w:p w:rsidR="001A6775">
            <w:pPr>
              <w:bidi w:val="0"/>
              <w:spacing w:after="0" w:afterAutospacing="1"/>
              <w:jc w:val="right"/>
              <w:rPr>
                <w:b w:val="0"/>
                <w:sz w:val="20"/>
              </w:rPr>
            </w:pPr>
            <w:r>
              <w:rPr>
                <w:b w:val="0"/>
                <w:sz w:val="20"/>
              </w:rPr>
              <w:t>620</w:t>
            </w:r>
          </w:p>
        </w:tc>
        <w:tc>
          <w:tcPr>
            <w:vAlign w:val="center"/>
          </w:tcPr>
          <w:p w:rsidR="001A6775">
            <w:pPr>
              <w:bidi w:val="0"/>
              <w:spacing w:after="0" w:afterAutospacing="1"/>
              <w:jc w:val="right"/>
              <w:rPr>
                <w:b w:val="0"/>
                <w:sz w:val="20"/>
              </w:rPr>
            </w:pPr>
            <w:r>
              <w:rPr>
                <w:b w:val="0"/>
                <w:sz w:val="20"/>
              </w:rPr>
              <w:t>1.3</w:t>
            </w:r>
          </w:p>
        </w:tc>
        <w:tc>
          <w:tcPr>
            <w:vAlign w:val="center"/>
          </w:tcPr>
          <w:p w:rsidR="001A6775">
            <w:pPr>
              <w:bidi w:val="0"/>
              <w:spacing w:after="0" w:afterAutospacing="1"/>
              <w:jc w:val="right"/>
              <w:rPr>
                <w:b w:val="0"/>
                <w:sz w:val="20"/>
              </w:rPr>
            </w:pPr>
            <w:r>
              <w:rPr>
                <w:b w:val="0"/>
                <w:sz w:val="20"/>
              </w:rPr>
              <w:t>1.5</w:t>
            </w:r>
          </w:p>
        </w:tc>
        <w:tc>
          <w:tcPr>
            <w:vAlign w:val="center"/>
          </w:tcPr>
          <w:p w:rsidR="001A6775">
            <w:pPr>
              <w:bidi w:val="0"/>
              <w:spacing w:after="0" w:afterAutospacing="1"/>
              <w:jc w:val="right"/>
              <w:rPr>
                <w:b w:val="0"/>
                <w:sz w:val="20"/>
              </w:rPr>
            </w:pPr>
            <w:r>
              <w:rPr>
                <w:b w:val="0"/>
                <w:sz w:val="20"/>
              </w:rPr>
              <w:t>+84</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Construction</w:t>
            </w:r>
          </w:p>
        </w:tc>
        <w:tc>
          <w:tcPr>
            <w:vAlign w:val="center"/>
          </w:tcPr>
          <w:p w:rsidR="001A6775">
            <w:pPr>
              <w:bidi w:val="0"/>
              <w:spacing w:after="0" w:afterAutospacing="1"/>
              <w:jc w:val="right"/>
              <w:rPr>
                <w:b w:val="0"/>
                <w:sz w:val="20"/>
              </w:rPr>
            </w:pPr>
            <w:r>
              <w:rPr>
                <w:b w:val="0"/>
                <w:sz w:val="20"/>
              </w:rPr>
              <w:t>5,334</w:t>
            </w:r>
          </w:p>
        </w:tc>
        <w:tc>
          <w:tcPr>
            <w:vAlign w:val="center"/>
          </w:tcPr>
          <w:p w:rsidR="001A6775">
            <w:pPr>
              <w:bidi w:val="0"/>
              <w:spacing w:after="0" w:afterAutospacing="1"/>
              <w:jc w:val="right"/>
              <w:rPr>
                <w:b w:val="0"/>
                <w:sz w:val="20"/>
              </w:rPr>
            </w:pPr>
            <w:r>
              <w:rPr>
                <w:b w:val="0"/>
                <w:sz w:val="20"/>
              </w:rPr>
              <w:t>9.5</w:t>
            </w:r>
          </w:p>
        </w:tc>
        <w:tc>
          <w:tcPr>
            <w:vAlign w:val="center"/>
          </w:tcPr>
          <w:p w:rsidR="001A6775">
            <w:pPr>
              <w:bidi w:val="0"/>
              <w:spacing w:after="0" w:afterAutospacing="1"/>
              <w:jc w:val="right"/>
              <w:rPr>
                <w:b w:val="0"/>
                <w:sz w:val="20"/>
              </w:rPr>
            </w:pPr>
            <w:r>
              <w:rPr>
                <w:b w:val="0"/>
                <w:sz w:val="20"/>
              </w:rPr>
              <w:t>10.0</w:t>
            </w:r>
          </w:p>
        </w:tc>
        <w:tc>
          <w:tcPr>
            <w:vAlign w:val="center"/>
          </w:tcPr>
          <w:p w:rsidR="001A6775">
            <w:pPr>
              <w:bidi w:val="0"/>
              <w:spacing w:after="0" w:afterAutospacing="1"/>
              <w:jc w:val="right"/>
              <w:rPr>
                <w:b w:val="0"/>
                <w:sz w:val="20"/>
              </w:rPr>
            </w:pPr>
            <w:r>
              <w:rPr>
                <w:b w:val="0"/>
                <w:sz w:val="20"/>
              </w:rPr>
              <w:t>4,402</w:t>
            </w:r>
          </w:p>
        </w:tc>
        <w:tc>
          <w:tcPr>
            <w:vAlign w:val="center"/>
          </w:tcPr>
          <w:p w:rsidR="001A6775">
            <w:pPr>
              <w:bidi w:val="0"/>
              <w:spacing w:after="0" w:afterAutospacing="1"/>
              <w:jc w:val="right"/>
              <w:rPr>
                <w:b w:val="0"/>
                <w:sz w:val="20"/>
              </w:rPr>
            </w:pPr>
            <w:r>
              <w:rPr>
                <w:b w:val="0"/>
                <w:sz w:val="20"/>
              </w:rPr>
              <w:t>9.0</w:t>
            </w:r>
          </w:p>
        </w:tc>
        <w:tc>
          <w:tcPr>
            <w:vAlign w:val="center"/>
          </w:tcPr>
          <w:p w:rsidR="001A6775">
            <w:pPr>
              <w:bidi w:val="0"/>
              <w:spacing w:after="0" w:afterAutospacing="1"/>
              <w:jc w:val="right"/>
              <w:rPr>
                <w:b w:val="0"/>
                <w:sz w:val="20"/>
              </w:rPr>
            </w:pPr>
            <w:r>
              <w:rPr>
                <w:b w:val="0"/>
                <w:sz w:val="20"/>
              </w:rPr>
              <w:t>8.8</w:t>
            </w:r>
          </w:p>
        </w:tc>
        <w:tc>
          <w:tcPr>
            <w:vAlign w:val="center"/>
          </w:tcPr>
          <w:p w:rsidR="001A6775">
            <w:pPr>
              <w:bidi w:val="0"/>
              <w:spacing w:after="0" w:afterAutospacing="1"/>
              <w:jc w:val="right"/>
              <w:rPr>
                <w:b w:val="0"/>
                <w:sz w:val="20"/>
              </w:rPr>
            </w:pPr>
            <w:r>
              <w:rPr>
                <w:b w:val="0"/>
                <w:sz w:val="20"/>
              </w:rPr>
              <w:t>+932</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Wholesale trade</w:t>
            </w:r>
          </w:p>
        </w:tc>
        <w:tc>
          <w:tcPr>
            <w:vAlign w:val="center"/>
          </w:tcPr>
          <w:p w:rsidR="001A6775">
            <w:pPr>
              <w:bidi w:val="0"/>
              <w:spacing w:after="0" w:afterAutospacing="1"/>
              <w:jc w:val="right"/>
              <w:rPr>
                <w:b w:val="0"/>
                <w:sz w:val="20"/>
              </w:rPr>
            </w:pPr>
            <w:r>
              <w:rPr>
                <w:b w:val="0"/>
                <w:sz w:val="20"/>
              </w:rPr>
              <w:t>982</w:t>
            </w:r>
          </w:p>
        </w:tc>
        <w:tc>
          <w:tcPr>
            <w:vAlign w:val="center"/>
          </w:tcPr>
          <w:p w:rsidR="001A6775">
            <w:pPr>
              <w:bidi w:val="0"/>
              <w:spacing w:after="0" w:afterAutospacing="1"/>
              <w:jc w:val="right"/>
              <w:rPr>
                <w:b w:val="0"/>
                <w:sz w:val="20"/>
              </w:rPr>
            </w:pPr>
            <w:r>
              <w:rPr>
                <w:b w:val="0"/>
                <w:sz w:val="20"/>
              </w:rPr>
              <w:t>1.7</w:t>
            </w:r>
          </w:p>
        </w:tc>
        <w:tc>
          <w:tcPr>
            <w:vAlign w:val="center"/>
          </w:tcPr>
          <w:p w:rsidR="001A6775">
            <w:pPr>
              <w:bidi w:val="0"/>
              <w:spacing w:after="0" w:afterAutospacing="1"/>
              <w:jc w:val="right"/>
              <w:rPr>
                <w:b w:val="0"/>
                <w:sz w:val="20"/>
              </w:rPr>
            </w:pPr>
            <w:r>
              <w:rPr>
                <w:b w:val="0"/>
                <w:sz w:val="20"/>
              </w:rPr>
              <w:t>2.2</w:t>
            </w:r>
          </w:p>
        </w:tc>
        <w:tc>
          <w:tcPr>
            <w:vAlign w:val="center"/>
          </w:tcPr>
          <w:p w:rsidR="001A6775">
            <w:pPr>
              <w:bidi w:val="0"/>
              <w:spacing w:after="0" w:afterAutospacing="1"/>
              <w:jc w:val="right"/>
              <w:rPr>
                <w:b w:val="0"/>
                <w:sz w:val="20"/>
              </w:rPr>
            </w:pPr>
            <w:r>
              <w:rPr>
                <w:b w:val="0"/>
                <w:sz w:val="20"/>
              </w:rPr>
              <w:t>857</w:t>
            </w:r>
          </w:p>
        </w:tc>
        <w:tc>
          <w:tcPr>
            <w:vAlign w:val="center"/>
          </w:tcPr>
          <w:p w:rsidR="001A6775">
            <w:pPr>
              <w:bidi w:val="0"/>
              <w:spacing w:after="0" w:afterAutospacing="1"/>
              <w:jc w:val="right"/>
              <w:rPr>
                <w:b w:val="0"/>
                <w:sz w:val="20"/>
              </w:rPr>
            </w:pPr>
            <w:r>
              <w:rPr>
                <w:b w:val="0"/>
                <w:sz w:val="20"/>
              </w:rPr>
              <w:t>1.8</w:t>
            </w:r>
          </w:p>
        </w:tc>
        <w:tc>
          <w:tcPr>
            <w:vAlign w:val="center"/>
          </w:tcPr>
          <w:p w:rsidR="001A6775">
            <w:pPr>
              <w:bidi w:val="0"/>
              <w:spacing w:after="0" w:afterAutospacing="1"/>
              <w:jc w:val="right"/>
              <w:rPr>
                <w:b w:val="0"/>
                <w:sz w:val="20"/>
              </w:rPr>
            </w:pPr>
            <w:r>
              <w:rPr>
                <w:b w:val="0"/>
                <w:sz w:val="20"/>
              </w:rPr>
              <w:t>2.2</w:t>
            </w:r>
          </w:p>
        </w:tc>
        <w:tc>
          <w:tcPr>
            <w:vAlign w:val="center"/>
          </w:tcPr>
          <w:p w:rsidR="001A6775">
            <w:pPr>
              <w:bidi w:val="0"/>
              <w:spacing w:after="0" w:afterAutospacing="1"/>
              <w:jc w:val="right"/>
              <w:rPr>
                <w:b w:val="0"/>
                <w:sz w:val="20"/>
              </w:rPr>
            </w:pPr>
            <w:r>
              <w:rPr>
                <w:b w:val="0"/>
                <w:sz w:val="20"/>
              </w:rPr>
              <w:t>+125</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Retail Trade</w:t>
            </w:r>
          </w:p>
        </w:tc>
        <w:tc>
          <w:tcPr>
            <w:vAlign w:val="center"/>
          </w:tcPr>
          <w:p w:rsidR="001A6775">
            <w:pPr>
              <w:bidi w:val="0"/>
              <w:spacing w:after="0" w:afterAutospacing="1"/>
              <w:jc w:val="right"/>
              <w:rPr>
                <w:b w:val="0"/>
                <w:sz w:val="20"/>
              </w:rPr>
            </w:pPr>
            <w:r>
              <w:rPr>
                <w:b w:val="0"/>
                <w:sz w:val="20"/>
              </w:rPr>
              <w:t>5,543</w:t>
            </w:r>
          </w:p>
        </w:tc>
        <w:tc>
          <w:tcPr>
            <w:vAlign w:val="center"/>
          </w:tcPr>
          <w:p w:rsidR="001A6775">
            <w:pPr>
              <w:bidi w:val="0"/>
              <w:spacing w:after="0" w:afterAutospacing="1"/>
              <w:jc w:val="right"/>
              <w:rPr>
                <w:b w:val="0"/>
                <w:sz w:val="20"/>
              </w:rPr>
            </w:pPr>
            <w:r>
              <w:rPr>
                <w:b w:val="0"/>
                <w:sz w:val="20"/>
              </w:rPr>
              <w:t>9.8</w:t>
            </w:r>
          </w:p>
        </w:tc>
        <w:tc>
          <w:tcPr>
            <w:vAlign w:val="center"/>
          </w:tcPr>
          <w:p w:rsidR="001A6775">
            <w:pPr>
              <w:bidi w:val="0"/>
              <w:spacing w:after="0" w:afterAutospacing="1"/>
              <w:jc w:val="right"/>
              <w:rPr>
                <w:b w:val="0"/>
                <w:sz w:val="20"/>
              </w:rPr>
            </w:pPr>
            <w:r>
              <w:rPr>
                <w:b w:val="0"/>
                <w:sz w:val="20"/>
              </w:rPr>
              <w:t>9.5</w:t>
            </w:r>
          </w:p>
        </w:tc>
        <w:tc>
          <w:tcPr>
            <w:vAlign w:val="center"/>
          </w:tcPr>
          <w:p w:rsidR="001A6775">
            <w:pPr>
              <w:bidi w:val="0"/>
              <w:spacing w:after="0" w:afterAutospacing="1"/>
              <w:jc w:val="right"/>
              <w:rPr>
                <w:b w:val="0"/>
                <w:sz w:val="20"/>
              </w:rPr>
            </w:pPr>
            <w:r>
              <w:rPr>
                <w:b w:val="0"/>
                <w:sz w:val="20"/>
              </w:rPr>
              <w:t>5,572</w:t>
            </w:r>
          </w:p>
        </w:tc>
        <w:tc>
          <w:tcPr>
            <w:vAlign w:val="center"/>
          </w:tcPr>
          <w:p w:rsidR="001A6775">
            <w:pPr>
              <w:bidi w:val="0"/>
              <w:spacing w:after="0" w:afterAutospacing="1"/>
              <w:jc w:val="right"/>
              <w:rPr>
                <w:b w:val="0"/>
                <w:sz w:val="20"/>
              </w:rPr>
            </w:pPr>
            <w:r>
              <w:rPr>
                <w:b w:val="0"/>
                <w:sz w:val="20"/>
              </w:rPr>
              <w:t>11.4</w:t>
            </w:r>
          </w:p>
        </w:tc>
        <w:tc>
          <w:tcPr>
            <w:vAlign w:val="center"/>
          </w:tcPr>
          <w:p w:rsidR="001A6775">
            <w:pPr>
              <w:bidi w:val="0"/>
              <w:spacing w:after="0" w:afterAutospacing="1"/>
              <w:jc w:val="right"/>
              <w:rPr>
                <w:b w:val="0"/>
                <w:sz w:val="20"/>
              </w:rPr>
            </w:pPr>
            <w:r>
              <w:rPr>
                <w:b w:val="0"/>
                <w:sz w:val="20"/>
              </w:rPr>
              <w:t>10.6</w:t>
            </w:r>
          </w:p>
        </w:tc>
        <w:tc>
          <w:tcPr>
            <w:vAlign w:val="center"/>
          </w:tcPr>
          <w:p w:rsidR="001A6775">
            <w:pPr>
              <w:bidi w:val="0"/>
              <w:spacing w:after="0" w:afterAutospacing="1"/>
              <w:jc w:val="right"/>
              <w:rPr>
                <w:b w:val="0"/>
                <w:sz w:val="20"/>
              </w:rPr>
            </w:pPr>
            <w:r>
              <w:rPr>
                <w:b w:val="0"/>
                <w:sz w:val="20"/>
              </w:rPr>
              <w:t>-29</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Accommodation and Food Services</w:t>
            </w:r>
          </w:p>
        </w:tc>
        <w:tc>
          <w:tcPr>
            <w:vAlign w:val="center"/>
          </w:tcPr>
          <w:p w:rsidR="001A6775">
            <w:pPr>
              <w:bidi w:val="0"/>
              <w:spacing w:after="0" w:afterAutospacing="1"/>
              <w:jc w:val="right"/>
              <w:rPr>
                <w:b w:val="0"/>
                <w:sz w:val="20"/>
              </w:rPr>
            </w:pPr>
            <w:r>
              <w:rPr>
                <w:b w:val="0"/>
                <w:sz w:val="20"/>
              </w:rPr>
              <w:t>3,834</w:t>
            </w:r>
          </w:p>
        </w:tc>
        <w:tc>
          <w:tcPr>
            <w:vAlign w:val="center"/>
          </w:tcPr>
          <w:p w:rsidR="001A6775">
            <w:pPr>
              <w:bidi w:val="0"/>
              <w:spacing w:after="0" w:afterAutospacing="1"/>
              <w:jc w:val="right"/>
              <w:rPr>
                <w:b w:val="0"/>
                <w:sz w:val="20"/>
              </w:rPr>
            </w:pPr>
            <w:r>
              <w:rPr>
                <w:b w:val="0"/>
                <w:sz w:val="20"/>
              </w:rPr>
              <w:t>6.8</w:t>
            </w:r>
          </w:p>
        </w:tc>
        <w:tc>
          <w:tcPr>
            <w:vAlign w:val="center"/>
          </w:tcPr>
          <w:p w:rsidR="001A6775">
            <w:pPr>
              <w:bidi w:val="0"/>
              <w:spacing w:after="0" w:afterAutospacing="1"/>
              <w:jc w:val="right"/>
              <w:rPr>
                <w:b w:val="0"/>
                <w:sz w:val="20"/>
              </w:rPr>
            </w:pPr>
            <w:r>
              <w:rPr>
                <w:b w:val="0"/>
                <w:sz w:val="20"/>
              </w:rPr>
              <w:t>6.6</w:t>
            </w:r>
          </w:p>
        </w:tc>
        <w:tc>
          <w:tcPr>
            <w:vAlign w:val="center"/>
          </w:tcPr>
          <w:p w:rsidR="001A6775">
            <w:pPr>
              <w:bidi w:val="0"/>
              <w:spacing w:after="0" w:afterAutospacing="1"/>
              <w:jc w:val="right"/>
              <w:rPr>
                <w:b w:val="0"/>
                <w:sz w:val="20"/>
              </w:rPr>
            </w:pPr>
            <w:r>
              <w:rPr>
                <w:b w:val="0"/>
                <w:sz w:val="20"/>
              </w:rPr>
              <w:t>3,382</w:t>
            </w:r>
          </w:p>
        </w:tc>
        <w:tc>
          <w:tcPr>
            <w:vAlign w:val="center"/>
          </w:tcPr>
          <w:p w:rsidR="001A6775">
            <w:pPr>
              <w:bidi w:val="0"/>
              <w:spacing w:after="0" w:afterAutospacing="1"/>
              <w:jc w:val="right"/>
              <w:rPr>
                <w:b w:val="0"/>
                <w:sz w:val="20"/>
              </w:rPr>
            </w:pPr>
            <w:r>
              <w:rPr>
                <w:b w:val="0"/>
                <w:sz w:val="20"/>
              </w:rPr>
              <w:t>6.9</w:t>
            </w:r>
          </w:p>
        </w:tc>
        <w:tc>
          <w:tcPr>
            <w:vAlign w:val="center"/>
          </w:tcPr>
          <w:p w:rsidR="001A6775">
            <w:pPr>
              <w:bidi w:val="0"/>
              <w:spacing w:after="0" w:afterAutospacing="1"/>
              <w:jc w:val="right"/>
              <w:rPr>
                <w:b w:val="0"/>
                <w:sz w:val="20"/>
              </w:rPr>
            </w:pPr>
            <w:r>
              <w:rPr>
                <w:b w:val="0"/>
                <w:sz w:val="20"/>
              </w:rPr>
              <w:t>7.0</w:t>
            </w:r>
          </w:p>
        </w:tc>
        <w:tc>
          <w:tcPr>
            <w:vAlign w:val="center"/>
          </w:tcPr>
          <w:p w:rsidR="001A6775">
            <w:pPr>
              <w:bidi w:val="0"/>
              <w:spacing w:after="0" w:afterAutospacing="1"/>
              <w:jc w:val="right"/>
              <w:rPr>
                <w:b w:val="0"/>
                <w:sz w:val="20"/>
              </w:rPr>
            </w:pPr>
            <w:r>
              <w:rPr>
                <w:b w:val="0"/>
                <w:sz w:val="20"/>
              </w:rPr>
              <w:t>+452</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Transport, Postal and Warehousing</w:t>
            </w:r>
          </w:p>
        </w:tc>
        <w:tc>
          <w:tcPr>
            <w:vAlign w:val="center"/>
          </w:tcPr>
          <w:p w:rsidR="001A6775">
            <w:pPr>
              <w:bidi w:val="0"/>
              <w:spacing w:after="0" w:afterAutospacing="1"/>
              <w:jc w:val="right"/>
              <w:rPr>
                <w:b w:val="0"/>
                <w:sz w:val="20"/>
              </w:rPr>
            </w:pPr>
            <w:r>
              <w:rPr>
                <w:b w:val="0"/>
                <w:sz w:val="20"/>
              </w:rPr>
              <w:t>1,838</w:t>
            </w:r>
          </w:p>
        </w:tc>
        <w:tc>
          <w:tcPr>
            <w:vAlign w:val="center"/>
          </w:tcPr>
          <w:p w:rsidR="001A6775">
            <w:pPr>
              <w:bidi w:val="0"/>
              <w:spacing w:after="0" w:afterAutospacing="1"/>
              <w:jc w:val="right"/>
              <w:rPr>
                <w:b w:val="0"/>
                <w:sz w:val="20"/>
              </w:rPr>
            </w:pPr>
            <w:r>
              <w:rPr>
                <w:b w:val="0"/>
                <w:sz w:val="20"/>
              </w:rPr>
              <w:t>3.3</w:t>
            </w:r>
          </w:p>
        </w:tc>
        <w:tc>
          <w:tcPr>
            <w:vAlign w:val="center"/>
          </w:tcPr>
          <w:p w:rsidR="001A6775">
            <w:pPr>
              <w:bidi w:val="0"/>
              <w:spacing w:after="0" w:afterAutospacing="1"/>
              <w:jc w:val="right"/>
              <w:rPr>
                <w:b w:val="0"/>
                <w:sz w:val="20"/>
              </w:rPr>
            </w:pPr>
            <w:r>
              <w:rPr>
                <w:b w:val="0"/>
                <w:sz w:val="20"/>
              </w:rPr>
              <w:t>3.8</w:t>
            </w:r>
          </w:p>
        </w:tc>
        <w:tc>
          <w:tcPr>
            <w:vAlign w:val="center"/>
          </w:tcPr>
          <w:p w:rsidR="001A6775">
            <w:pPr>
              <w:bidi w:val="0"/>
              <w:spacing w:after="0" w:afterAutospacing="1"/>
              <w:jc w:val="right"/>
              <w:rPr>
                <w:b w:val="0"/>
                <w:sz w:val="20"/>
              </w:rPr>
            </w:pPr>
            <w:r>
              <w:rPr>
                <w:b w:val="0"/>
                <w:sz w:val="20"/>
              </w:rPr>
              <w:t>1,607</w:t>
            </w:r>
          </w:p>
        </w:tc>
        <w:tc>
          <w:tcPr>
            <w:vAlign w:val="center"/>
          </w:tcPr>
          <w:p w:rsidR="001A6775">
            <w:pPr>
              <w:bidi w:val="0"/>
              <w:spacing w:after="0" w:afterAutospacing="1"/>
              <w:jc w:val="right"/>
              <w:rPr>
                <w:b w:val="0"/>
                <w:sz w:val="20"/>
              </w:rPr>
            </w:pPr>
            <w:r>
              <w:rPr>
                <w:b w:val="0"/>
                <w:sz w:val="20"/>
              </w:rPr>
              <w:t>3.3</w:t>
            </w:r>
          </w:p>
        </w:tc>
        <w:tc>
          <w:tcPr>
            <w:vAlign w:val="center"/>
          </w:tcPr>
          <w:p w:rsidR="001A6775">
            <w:pPr>
              <w:bidi w:val="0"/>
              <w:spacing w:after="0" w:afterAutospacing="1"/>
              <w:jc w:val="right"/>
              <w:rPr>
                <w:b w:val="0"/>
                <w:sz w:val="20"/>
              </w:rPr>
            </w:pPr>
            <w:r>
              <w:rPr>
                <w:b w:val="0"/>
                <w:sz w:val="20"/>
              </w:rPr>
              <w:t>3.9</w:t>
            </w:r>
          </w:p>
        </w:tc>
        <w:tc>
          <w:tcPr>
            <w:vAlign w:val="center"/>
          </w:tcPr>
          <w:p w:rsidR="001A6775">
            <w:pPr>
              <w:bidi w:val="0"/>
              <w:spacing w:after="0" w:afterAutospacing="1"/>
              <w:jc w:val="right"/>
              <w:rPr>
                <w:b w:val="0"/>
                <w:sz w:val="20"/>
              </w:rPr>
            </w:pPr>
            <w:r>
              <w:rPr>
                <w:b w:val="0"/>
                <w:sz w:val="20"/>
              </w:rPr>
              <w:t>+231</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Information Media and Telecommunications</w:t>
            </w:r>
          </w:p>
        </w:tc>
        <w:tc>
          <w:tcPr>
            <w:vAlign w:val="center"/>
          </w:tcPr>
          <w:p w:rsidR="001A6775">
            <w:pPr>
              <w:bidi w:val="0"/>
              <w:spacing w:after="0" w:afterAutospacing="1"/>
              <w:jc w:val="right"/>
              <w:rPr>
                <w:b w:val="0"/>
                <w:sz w:val="20"/>
              </w:rPr>
            </w:pPr>
            <w:r>
              <w:rPr>
                <w:b w:val="0"/>
                <w:sz w:val="20"/>
              </w:rPr>
              <w:t>515</w:t>
            </w:r>
          </w:p>
        </w:tc>
        <w:tc>
          <w:tcPr>
            <w:vAlign w:val="center"/>
          </w:tcPr>
          <w:p w:rsidR="001A6775">
            <w:pPr>
              <w:bidi w:val="0"/>
              <w:spacing w:after="0" w:afterAutospacing="1"/>
              <w:jc w:val="right"/>
              <w:rPr>
                <w:b w:val="0"/>
                <w:sz w:val="20"/>
              </w:rPr>
            </w:pPr>
            <w:r>
              <w:rPr>
                <w:b w:val="0"/>
                <w:sz w:val="20"/>
              </w:rPr>
              <w:t>0.9</w:t>
            </w:r>
          </w:p>
        </w:tc>
        <w:tc>
          <w:tcPr>
            <w:vAlign w:val="center"/>
          </w:tcPr>
          <w:p w:rsidR="001A6775">
            <w:pPr>
              <w:bidi w:val="0"/>
              <w:spacing w:after="0" w:afterAutospacing="1"/>
              <w:jc w:val="right"/>
              <w:rPr>
                <w:b w:val="0"/>
                <w:sz w:val="20"/>
              </w:rPr>
            </w:pPr>
            <w:r>
              <w:rPr>
                <w:b w:val="0"/>
                <w:sz w:val="20"/>
              </w:rPr>
              <w:t>0.8</w:t>
            </w:r>
          </w:p>
        </w:tc>
        <w:tc>
          <w:tcPr>
            <w:vAlign w:val="center"/>
          </w:tcPr>
          <w:p w:rsidR="001A6775">
            <w:pPr>
              <w:bidi w:val="0"/>
              <w:spacing w:after="0" w:afterAutospacing="1"/>
              <w:jc w:val="right"/>
              <w:rPr>
                <w:b w:val="0"/>
                <w:sz w:val="20"/>
              </w:rPr>
            </w:pPr>
            <w:r>
              <w:rPr>
                <w:b w:val="0"/>
                <w:sz w:val="20"/>
              </w:rPr>
              <w:t>564</w:t>
            </w:r>
          </w:p>
        </w:tc>
        <w:tc>
          <w:tcPr>
            <w:vAlign w:val="center"/>
          </w:tcPr>
          <w:p w:rsidR="001A6775">
            <w:pPr>
              <w:bidi w:val="0"/>
              <w:spacing w:after="0" w:afterAutospacing="1"/>
              <w:jc w:val="right"/>
              <w:rPr>
                <w:b w:val="0"/>
                <w:sz w:val="20"/>
              </w:rPr>
            </w:pPr>
            <w:r>
              <w:rPr>
                <w:b w:val="0"/>
                <w:sz w:val="20"/>
              </w:rPr>
              <w:t>1.2</w:t>
            </w:r>
          </w:p>
        </w:tc>
        <w:tc>
          <w:tcPr>
            <w:vAlign w:val="center"/>
          </w:tcPr>
          <w:p w:rsidR="001A6775">
            <w:pPr>
              <w:bidi w:val="0"/>
              <w:spacing w:after="0" w:afterAutospacing="1"/>
              <w:jc w:val="right"/>
              <w:rPr>
                <w:b w:val="0"/>
                <w:sz w:val="20"/>
              </w:rPr>
            </w:pPr>
            <w:r>
              <w:rPr>
                <w:b w:val="0"/>
                <w:sz w:val="20"/>
              </w:rPr>
              <w:t>1.0</w:t>
            </w:r>
          </w:p>
        </w:tc>
        <w:tc>
          <w:tcPr>
            <w:vAlign w:val="center"/>
          </w:tcPr>
          <w:p w:rsidR="001A6775">
            <w:pPr>
              <w:bidi w:val="0"/>
              <w:spacing w:after="0" w:afterAutospacing="1"/>
              <w:jc w:val="right"/>
              <w:rPr>
                <w:b w:val="0"/>
                <w:sz w:val="20"/>
              </w:rPr>
            </w:pPr>
            <w:r>
              <w:rPr>
                <w:b w:val="0"/>
                <w:sz w:val="20"/>
              </w:rPr>
              <w:t>-49</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Financial and Insurance Services</w:t>
            </w:r>
          </w:p>
        </w:tc>
        <w:tc>
          <w:tcPr>
            <w:vAlign w:val="center"/>
          </w:tcPr>
          <w:p w:rsidR="001A6775">
            <w:pPr>
              <w:bidi w:val="0"/>
              <w:spacing w:after="0" w:afterAutospacing="1"/>
              <w:jc w:val="right"/>
              <w:rPr>
                <w:b w:val="0"/>
                <w:sz w:val="20"/>
              </w:rPr>
            </w:pPr>
            <w:r>
              <w:rPr>
                <w:b w:val="0"/>
                <w:sz w:val="20"/>
              </w:rPr>
              <w:t>1,902</w:t>
            </w:r>
          </w:p>
        </w:tc>
        <w:tc>
          <w:tcPr>
            <w:vAlign w:val="center"/>
          </w:tcPr>
          <w:p w:rsidR="001A6775">
            <w:pPr>
              <w:bidi w:val="0"/>
              <w:spacing w:after="0" w:afterAutospacing="1"/>
              <w:jc w:val="right"/>
              <w:rPr>
                <w:b w:val="0"/>
                <w:sz w:val="20"/>
              </w:rPr>
            </w:pPr>
            <w:r>
              <w:rPr>
                <w:b w:val="0"/>
                <w:sz w:val="20"/>
              </w:rPr>
              <w:t>3.4</w:t>
            </w:r>
          </w:p>
        </w:tc>
        <w:tc>
          <w:tcPr>
            <w:vAlign w:val="center"/>
          </w:tcPr>
          <w:p w:rsidR="001A6775">
            <w:pPr>
              <w:bidi w:val="0"/>
              <w:spacing w:after="0" w:afterAutospacing="1"/>
              <w:jc w:val="right"/>
              <w:rPr>
                <w:b w:val="0"/>
                <w:sz w:val="20"/>
              </w:rPr>
            </w:pPr>
            <w:r>
              <w:rPr>
                <w:b w:val="0"/>
                <w:sz w:val="20"/>
              </w:rPr>
              <w:t>1.9</w:t>
            </w:r>
          </w:p>
        </w:tc>
        <w:tc>
          <w:tcPr>
            <w:vAlign w:val="center"/>
          </w:tcPr>
          <w:p w:rsidR="001A6775">
            <w:pPr>
              <w:bidi w:val="0"/>
              <w:spacing w:after="0" w:afterAutospacing="1"/>
              <w:jc w:val="right"/>
              <w:rPr>
                <w:b w:val="0"/>
                <w:sz w:val="20"/>
              </w:rPr>
            </w:pPr>
            <w:r>
              <w:rPr>
                <w:b w:val="0"/>
                <w:sz w:val="20"/>
              </w:rPr>
              <w:t>1,872</w:t>
            </w:r>
          </w:p>
        </w:tc>
        <w:tc>
          <w:tcPr>
            <w:vAlign w:val="center"/>
          </w:tcPr>
          <w:p w:rsidR="001A6775">
            <w:pPr>
              <w:bidi w:val="0"/>
              <w:spacing w:after="0" w:afterAutospacing="1"/>
              <w:jc w:val="right"/>
              <w:rPr>
                <w:b w:val="0"/>
                <w:sz w:val="20"/>
              </w:rPr>
            </w:pPr>
            <w:r>
              <w:rPr>
                <w:b w:val="0"/>
                <w:sz w:val="20"/>
              </w:rPr>
              <w:t>3.8</w:t>
            </w:r>
          </w:p>
        </w:tc>
        <w:tc>
          <w:tcPr>
            <w:vAlign w:val="center"/>
          </w:tcPr>
          <w:p w:rsidR="001A6775">
            <w:pPr>
              <w:bidi w:val="0"/>
              <w:spacing w:after="0" w:afterAutospacing="1"/>
              <w:jc w:val="right"/>
              <w:rPr>
                <w:b w:val="0"/>
                <w:sz w:val="20"/>
              </w:rPr>
            </w:pPr>
            <w:r>
              <w:rPr>
                <w:b w:val="0"/>
                <w:sz w:val="20"/>
              </w:rPr>
              <w:t>1.9</w:t>
            </w:r>
          </w:p>
        </w:tc>
        <w:tc>
          <w:tcPr>
            <w:vAlign w:val="center"/>
          </w:tcPr>
          <w:p w:rsidR="001A6775">
            <w:pPr>
              <w:bidi w:val="0"/>
              <w:spacing w:after="0" w:afterAutospacing="1"/>
              <w:jc w:val="right"/>
              <w:rPr>
                <w:b w:val="0"/>
                <w:sz w:val="20"/>
              </w:rPr>
            </w:pPr>
            <w:r>
              <w:rPr>
                <w:b w:val="0"/>
                <w:sz w:val="20"/>
              </w:rPr>
              <w:t>+30</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Rental, Hiring and Real Estate Services</w:t>
            </w:r>
          </w:p>
        </w:tc>
        <w:tc>
          <w:tcPr>
            <w:vAlign w:val="center"/>
          </w:tcPr>
          <w:p w:rsidR="001A6775">
            <w:pPr>
              <w:bidi w:val="0"/>
              <w:spacing w:after="0" w:afterAutospacing="1"/>
              <w:jc w:val="right"/>
              <w:rPr>
                <w:b w:val="0"/>
                <w:sz w:val="20"/>
              </w:rPr>
            </w:pPr>
            <w:r>
              <w:rPr>
                <w:b w:val="0"/>
                <w:sz w:val="20"/>
              </w:rPr>
              <w:t>553</w:t>
            </w:r>
          </w:p>
        </w:tc>
        <w:tc>
          <w:tcPr>
            <w:vAlign w:val="center"/>
          </w:tcPr>
          <w:p w:rsidR="001A6775">
            <w:pPr>
              <w:bidi w:val="0"/>
              <w:spacing w:after="0" w:afterAutospacing="1"/>
              <w:jc w:val="right"/>
              <w:rPr>
                <w:b w:val="0"/>
                <w:sz w:val="20"/>
              </w:rPr>
            </w:pPr>
            <w:r>
              <w:rPr>
                <w:b w:val="0"/>
                <w:sz w:val="20"/>
              </w:rPr>
              <w:t>1.0</w:t>
            </w:r>
          </w:p>
        </w:tc>
        <w:tc>
          <w:tcPr>
            <w:vAlign w:val="center"/>
          </w:tcPr>
          <w:p w:rsidR="001A6775">
            <w:pPr>
              <w:bidi w:val="0"/>
              <w:spacing w:after="0" w:afterAutospacing="1"/>
              <w:jc w:val="right"/>
              <w:rPr>
                <w:b w:val="0"/>
                <w:sz w:val="20"/>
              </w:rPr>
            </w:pPr>
            <w:r>
              <w:rPr>
                <w:b w:val="0"/>
                <w:sz w:val="20"/>
              </w:rPr>
              <w:t>1.0</w:t>
            </w:r>
          </w:p>
        </w:tc>
        <w:tc>
          <w:tcPr>
            <w:vAlign w:val="center"/>
          </w:tcPr>
          <w:p w:rsidR="001A6775">
            <w:pPr>
              <w:bidi w:val="0"/>
              <w:spacing w:after="0" w:afterAutospacing="1"/>
              <w:jc w:val="right"/>
              <w:rPr>
                <w:b w:val="0"/>
                <w:sz w:val="20"/>
              </w:rPr>
            </w:pPr>
            <w:r>
              <w:rPr>
                <w:b w:val="0"/>
                <w:sz w:val="20"/>
              </w:rPr>
              <w:t>509</w:t>
            </w:r>
          </w:p>
        </w:tc>
        <w:tc>
          <w:tcPr>
            <w:vAlign w:val="center"/>
          </w:tcPr>
          <w:p w:rsidR="001A6775">
            <w:pPr>
              <w:bidi w:val="0"/>
              <w:spacing w:after="0" w:afterAutospacing="1"/>
              <w:jc w:val="right"/>
              <w:rPr>
                <w:b w:val="0"/>
                <w:sz w:val="20"/>
              </w:rPr>
            </w:pPr>
            <w:r>
              <w:rPr>
                <w:b w:val="0"/>
                <w:sz w:val="20"/>
              </w:rPr>
              <w:t>1.0</w:t>
            </w:r>
          </w:p>
        </w:tc>
        <w:tc>
          <w:tcPr>
            <w:vAlign w:val="center"/>
          </w:tcPr>
          <w:p w:rsidR="001A6775">
            <w:pPr>
              <w:bidi w:val="0"/>
              <w:spacing w:after="0" w:afterAutospacing="1"/>
              <w:jc w:val="right"/>
              <w:rPr>
                <w:b w:val="0"/>
                <w:sz w:val="20"/>
              </w:rPr>
            </w:pPr>
            <w:r>
              <w:rPr>
                <w:b w:val="0"/>
                <w:sz w:val="20"/>
              </w:rPr>
              <w:t>1.1</w:t>
            </w:r>
          </w:p>
        </w:tc>
        <w:tc>
          <w:tcPr>
            <w:vAlign w:val="center"/>
          </w:tcPr>
          <w:p w:rsidR="001A6775">
            <w:pPr>
              <w:bidi w:val="0"/>
              <w:spacing w:after="0" w:afterAutospacing="1"/>
              <w:jc w:val="right"/>
              <w:rPr>
                <w:b w:val="0"/>
                <w:sz w:val="20"/>
              </w:rPr>
            </w:pPr>
            <w:r>
              <w:rPr>
                <w:b w:val="0"/>
                <w:sz w:val="20"/>
              </w:rPr>
              <w:t>+44</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Professional, Scientific and Technical Services</w:t>
            </w:r>
          </w:p>
        </w:tc>
        <w:tc>
          <w:tcPr>
            <w:vAlign w:val="center"/>
          </w:tcPr>
          <w:p w:rsidR="001A6775">
            <w:pPr>
              <w:bidi w:val="0"/>
              <w:spacing w:after="0" w:afterAutospacing="1"/>
              <w:jc w:val="right"/>
              <w:rPr>
                <w:b w:val="0"/>
                <w:sz w:val="20"/>
              </w:rPr>
            </w:pPr>
            <w:r>
              <w:rPr>
                <w:b w:val="0"/>
                <w:sz w:val="20"/>
              </w:rPr>
              <w:t>2,393</w:t>
            </w:r>
          </w:p>
        </w:tc>
        <w:tc>
          <w:tcPr>
            <w:vAlign w:val="center"/>
          </w:tcPr>
          <w:p w:rsidR="001A6775">
            <w:pPr>
              <w:bidi w:val="0"/>
              <w:spacing w:after="0" w:afterAutospacing="1"/>
              <w:jc w:val="right"/>
              <w:rPr>
                <w:b w:val="0"/>
                <w:sz w:val="20"/>
              </w:rPr>
            </w:pPr>
            <w:r>
              <w:rPr>
                <w:b w:val="0"/>
                <w:sz w:val="20"/>
              </w:rPr>
              <w:t>4.3</w:t>
            </w:r>
          </w:p>
        </w:tc>
        <w:tc>
          <w:tcPr>
            <w:vAlign w:val="center"/>
          </w:tcPr>
          <w:p w:rsidR="001A6775">
            <w:pPr>
              <w:bidi w:val="0"/>
              <w:spacing w:after="0" w:afterAutospacing="1"/>
              <w:jc w:val="right"/>
              <w:rPr>
                <w:b w:val="0"/>
                <w:sz w:val="20"/>
              </w:rPr>
            </w:pPr>
            <w:r>
              <w:rPr>
                <w:b w:val="0"/>
                <w:sz w:val="20"/>
              </w:rPr>
              <w:t>4.5</w:t>
            </w:r>
          </w:p>
        </w:tc>
        <w:tc>
          <w:tcPr>
            <w:vAlign w:val="center"/>
          </w:tcPr>
          <w:p w:rsidR="001A6775">
            <w:pPr>
              <w:bidi w:val="0"/>
              <w:spacing w:after="0" w:afterAutospacing="1"/>
              <w:jc w:val="right"/>
              <w:rPr>
                <w:b w:val="0"/>
                <w:sz w:val="20"/>
              </w:rPr>
            </w:pPr>
            <w:r>
              <w:rPr>
                <w:b w:val="0"/>
                <w:sz w:val="20"/>
              </w:rPr>
              <w:t>2,010</w:t>
            </w:r>
          </w:p>
        </w:tc>
        <w:tc>
          <w:tcPr>
            <w:vAlign w:val="center"/>
          </w:tcPr>
          <w:p w:rsidR="001A6775">
            <w:pPr>
              <w:bidi w:val="0"/>
              <w:spacing w:after="0" w:afterAutospacing="1"/>
              <w:jc w:val="right"/>
              <w:rPr>
                <w:b w:val="0"/>
                <w:sz w:val="20"/>
              </w:rPr>
            </w:pPr>
            <w:r>
              <w:rPr>
                <w:b w:val="0"/>
                <w:sz w:val="20"/>
              </w:rPr>
              <w:t>4.1</w:t>
            </w:r>
          </w:p>
        </w:tc>
        <w:tc>
          <w:tcPr>
            <w:vAlign w:val="center"/>
          </w:tcPr>
          <w:p w:rsidR="001A6775">
            <w:pPr>
              <w:bidi w:val="0"/>
              <w:spacing w:after="0" w:afterAutospacing="1"/>
              <w:jc w:val="right"/>
              <w:rPr>
                <w:b w:val="0"/>
                <w:sz w:val="20"/>
              </w:rPr>
            </w:pPr>
            <w:r>
              <w:rPr>
                <w:b w:val="0"/>
                <w:sz w:val="20"/>
              </w:rPr>
              <w:t>4.2</w:t>
            </w:r>
          </w:p>
        </w:tc>
        <w:tc>
          <w:tcPr>
            <w:vAlign w:val="center"/>
          </w:tcPr>
          <w:p w:rsidR="001A6775">
            <w:pPr>
              <w:bidi w:val="0"/>
              <w:spacing w:after="0" w:afterAutospacing="1"/>
              <w:jc w:val="right"/>
              <w:rPr>
                <w:b w:val="0"/>
                <w:sz w:val="20"/>
              </w:rPr>
            </w:pPr>
            <w:r>
              <w:rPr>
                <w:b w:val="0"/>
                <w:sz w:val="20"/>
              </w:rPr>
              <w:t>+383</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Administrative and Support Services</w:t>
            </w:r>
          </w:p>
        </w:tc>
        <w:tc>
          <w:tcPr>
            <w:vAlign w:val="center"/>
          </w:tcPr>
          <w:p w:rsidR="001A6775">
            <w:pPr>
              <w:bidi w:val="0"/>
              <w:spacing w:after="0" w:afterAutospacing="1"/>
              <w:jc w:val="right"/>
              <w:rPr>
                <w:b w:val="0"/>
                <w:sz w:val="20"/>
              </w:rPr>
            </w:pPr>
            <w:r>
              <w:rPr>
                <w:b w:val="0"/>
                <w:sz w:val="20"/>
              </w:rPr>
              <w:t>1,557</w:t>
            </w:r>
          </w:p>
        </w:tc>
        <w:tc>
          <w:tcPr>
            <w:vAlign w:val="center"/>
          </w:tcPr>
          <w:p w:rsidR="001A6775">
            <w:pPr>
              <w:bidi w:val="0"/>
              <w:spacing w:after="0" w:afterAutospacing="1"/>
              <w:jc w:val="right"/>
              <w:rPr>
                <w:b w:val="0"/>
                <w:sz w:val="20"/>
              </w:rPr>
            </w:pPr>
            <w:r>
              <w:rPr>
                <w:b w:val="0"/>
                <w:sz w:val="20"/>
              </w:rPr>
              <w:t>2.8</w:t>
            </w:r>
          </w:p>
        </w:tc>
        <w:tc>
          <w:tcPr>
            <w:vAlign w:val="center"/>
          </w:tcPr>
          <w:p w:rsidR="001A6775">
            <w:pPr>
              <w:bidi w:val="0"/>
              <w:spacing w:after="0" w:afterAutospacing="1"/>
              <w:jc w:val="right"/>
              <w:rPr>
                <w:b w:val="0"/>
                <w:sz w:val="20"/>
              </w:rPr>
            </w:pPr>
            <w:r>
              <w:rPr>
                <w:b w:val="0"/>
                <w:sz w:val="20"/>
              </w:rPr>
              <w:t>2.8</w:t>
            </w:r>
          </w:p>
        </w:tc>
        <w:tc>
          <w:tcPr>
            <w:vAlign w:val="center"/>
          </w:tcPr>
          <w:p w:rsidR="001A6775">
            <w:pPr>
              <w:bidi w:val="0"/>
              <w:spacing w:after="0" w:afterAutospacing="1"/>
              <w:jc w:val="right"/>
              <w:rPr>
                <w:b w:val="0"/>
                <w:sz w:val="20"/>
              </w:rPr>
            </w:pPr>
            <w:r>
              <w:rPr>
                <w:b w:val="0"/>
                <w:sz w:val="20"/>
              </w:rPr>
              <w:t>1,372</w:t>
            </w:r>
          </w:p>
        </w:tc>
        <w:tc>
          <w:tcPr>
            <w:vAlign w:val="center"/>
          </w:tcPr>
          <w:p w:rsidR="001A6775">
            <w:pPr>
              <w:bidi w:val="0"/>
              <w:spacing w:after="0" w:afterAutospacing="1"/>
              <w:jc w:val="right"/>
              <w:rPr>
                <w:b w:val="0"/>
                <w:sz w:val="20"/>
              </w:rPr>
            </w:pPr>
            <w:r>
              <w:rPr>
                <w:b w:val="0"/>
                <w:sz w:val="20"/>
              </w:rPr>
              <w:t>2.8</w:t>
            </w:r>
          </w:p>
        </w:tc>
        <w:tc>
          <w:tcPr>
            <w:vAlign w:val="center"/>
          </w:tcPr>
          <w:p w:rsidR="001A6775">
            <w:pPr>
              <w:bidi w:val="0"/>
              <w:spacing w:after="0" w:afterAutospacing="1"/>
              <w:jc w:val="right"/>
              <w:rPr>
                <w:b w:val="0"/>
                <w:sz w:val="20"/>
              </w:rPr>
            </w:pPr>
            <w:r>
              <w:rPr>
                <w:b w:val="0"/>
                <w:sz w:val="20"/>
              </w:rPr>
              <w:t>2.8</w:t>
            </w:r>
          </w:p>
        </w:tc>
        <w:tc>
          <w:tcPr>
            <w:vAlign w:val="center"/>
          </w:tcPr>
          <w:p w:rsidR="001A6775">
            <w:pPr>
              <w:bidi w:val="0"/>
              <w:spacing w:after="0" w:afterAutospacing="1"/>
              <w:jc w:val="right"/>
              <w:rPr>
                <w:b w:val="0"/>
                <w:sz w:val="20"/>
              </w:rPr>
            </w:pPr>
            <w:r>
              <w:rPr>
                <w:b w:val="0"/>
                <w:sz w:val="20"/>
              </w:rPr>
              <w:t>+185</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Public Administration and Safety</w:t>
            </w:r>
          </w:p>
        </w:tc>
        <w:tc>
          <w:tcPr>
            <w:vAlign w:val="center"/>
          </w:tcPr>
          <w:p w:rsidR="001A6775">
            <w:pPr>
              <w:bidi w:val="0"/>
              <w:spacing w:after="0" w:afterAutospacing="1"/>
              <w:jc w:val="right"/>
              <w:rPr>
                <w:b w:val="0"/>
                <w:sz w:val="20"/>
              </w:rPr>
            </w:pPr>
            <w:r>
              <w:rPr>
                <w:b w:val="0"/>
                <w:sz w:val="20"/>
              </w:rPr>
              <w:t>3,500</w:t>
            </w:r>
          </w:p>
        </w:tc>
        <w:tc>
          <w:tcPr>
            <w:vAlign w:val="center"/>
          </w:tcPr>
          <w:p w:rsidR="001A6775">
            <w:pPr>
              <w:bidi w:val="0"/>
              <w:spacing w:after="0" w:afterAutospacing="1"/>
              <w:jc w:val="right"/>
              <w:rPr>
                <w:b w:val="0"/>
                <w:sz w:val="20"/>
              </w:rPr>
            </w:pPr>
            <w:r>
              <w:rPr>
                <w:b w:val="0"/>
                <w:sz w:val="20"/>
              </w:rPr>
              <w:t>6.2</w:t>
            </w:r>
          </w:p>
        </w:tc>
        <w:tc>
          <w:tcPr>
            <w:vAlign w:val="center"/>
          </w:tcPr>
          <w:p w:rsidR="001A6775">
            <w:pPr>
              <w:bidi w:val="0"/>
              <w:spacing w:after="0" w:afterAutospacing="1"/>
              <w:jc w:val="right"/>
              <w:rPr>
                <w:b w:val="0"/>
                <w:sz w:val="20"/>
              </w:rPr>
            </w:pPr>
            <w:r>
              <w:rPr>
                <w:b w:val="0"/>
                <w:sz w:val="20"/>
              </w:rPr>
              <w:t>6.3</w:t>
            </w:r>
          </w:p>
        </w:tc>
        <w:tc>
          <w:tcPr>
            <w:vAlign w:val="center"/>
          </w:tcPr>
          <w:p w:rsidR="001A6775">
            <w:pPr>
              <w:bidi w:val="0"/>
              <w:spacing w:after="0" w:afterAutospacing="1"/>
              <w:jc w:val="right"/>
              <w:rPr>
                <w:b w:val="0"/>
                <w:sz w:val="20"/>
              </w:rPr>
            </w:pPr>
            <w:r>
              <w:rPr>
                <w:b w:val="0"/>
                <w:sz w:val="20"/>
              </w:rPr>
              <w:t>2,884</w:t>
            </w:r>
          </w:p>
        </w:tc>
        <w:tc>
          <w:tcPr>
            <w:vAlign w:val="center"/>
          </w:tcPr>
          <w:p w:rsidR="001A6775">
            <w:pPr>
              <w:bidi w:val="0"/>
              <w:spacing w:after="0" w:afterAutospacing="1"/>
              <w:jc w:val="right"/>
              <w:rPr>
                <w:b w:val="0"/>
                <w:sz w:val="20"/>
              </w:rPr>
            </w:pPr>
            <w:r>
              <w:rPr>
                <w:b w:val="0"/>
                <w:sz w:val="20"/>
              </w:rPr>
              <w:t>5.9</w:t>
            </w:r>
          </w:p>
        </w:tc>
        <w:tc>
          <w:tcPr>
            <w:vAlign w:val="center"/>
          </w:tcPr>
          <w:p w:rsidR="001A6775">
            <w:pPr>
              <w:bidi w:val="0"/>
              <w:spacing w:after="0" w:afterAutospacing="1"/>
              <w:jc w:val="right"/>
              <w:rPr>
                <w:b w:val="0"/>
                <w:sz w:val="20"/>
              </w:rPr>
            </w:pPr>
            <w:r>
              <w:rPr>
                <w:b w:val="0"/>
                <w:sz w:val="20"/>
              </w:rPr>
              <w:t>6.1</w:t>
            </w:r>
          </w:p>
        </w:tc>
        <w:tc>
          <w:tcPr>
            <w:vAlign w:val="center"/>
          </w:tcPr>
          <w:p w:rsidR="001A6775">
            <w:pPr>
              <w:bidi w:val="0"/>
              <w:spacing w:after="0" w:afterAutospacing="1"/>
              <w:jc w:val="right"/>
              <w:rPr>
                <w:b w:val="0"/>
                <w:sz w:val="20"/>
              </w:rPr>
            </w:pPr>
            <w:r>
              <w:rPr>
                <w:b w:val="0"/>
                <w:sz w:val="20"/>
              </w:rPr>
              <w:t>+616</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Education and Training</w:t>
            </w:r>
          </w:p>
        </w:tc>
        <w:tc>
          <w:tcPr>
            <w:vAlign w:val="center"/>
          </w:tcPr>
          <w:p w:rsidR="001A6775">
            <w:pPr>
              <w:bidi w:val="0"/>
              <w:spacing w:after="0" w:afterAutospacing="1"/>
              <w:jc w:val="right"/>
              <w:rPr>
                <w:b w:val="0"/>
                <w:sz w:val="20"/>
              </w:rPr>
            </w:pPr>
            <w:r>
              <w:rPr>
                <w:b w:val="0"/>
                <w:sz w:val="20"/>
              </w:rPr>
              <w:t>4,887</w:t>
            </w:r>
          </w:p>
        </w:tc>
        <w:tc>
          <w:tcPr>
            <w:vAlign w:val="center"/>
          </w:tcPr>
          <w:p w:rsidR="001A6775">
            <w:pPr>
              <w:bidi w:val="0"/>
              <w:spacing w:after="0" w:afterAutospacing="1"/>
              <w:jc w:val="right"/>
              <w:rPr>
                <w:b w:val="0"/>
                <w:sz w:val="20"/>
              </w:rPr>
            </w:pPr>
            <w:r>
              <w:rPr>
                <w:b w:val="0"/>
                <w:sz w:val="20"/>
              </w:rPr>
              <w:t>8.7</w:t>
            </w:r>
          </w:p>
        </w:tc>
        <w:tc>
          <w:tcPr>
            <w:vAlign w:val="center"/>
          </w:tcPr>
          <w:p w:rsidR="001A6775">
            <w:pPr>
              <w:bidi w:val="0"/>
              <w:spacing w:after="0" w:afterAutospacing="1"/>
              <w:jc w:val="right"/>
              <w:rPr>
                <w:b w:val="0"/>
                <w:sz w:val="20"/>
              </w:rPr>
            </w:pPr>
            <w:r>
              <w:rPr>
                <w:b w:val="0"/>
                <w:sz w:val="20"/>
              </w:rPr>
              <w:t>8.8</w:t>
            </w:r>
          </w:p>
        </w:tc>
        <w:tc>
          <w:tcPr>
            <w:vAlign w:val="center"/>
          </w:tcPr>
          <w:p w:rsidR="001A6775">
            <w:pPr>
              <w:bidi w:val="0"/>
              <w:spacing w:after="0" w:afterAutospacing="1"/>
              <w:jc w:val="right"/>
              <w:rPr>
                <w:b w:val="0"/>
                <w:sz w:val="20"/>
              </w:rPr>
            </w:pPr>
            <w:r>
              <w:rPr>
                <w:b w:val="0"/>
                <w:sz w:val="20"/>
              </w:rPr>
              <w:t>4,345</w:t>
            </w:r>
          </w:p>
        </w:tc>
        <w:tc>
          <w:tcPr>
            <w:vAlign w:val="center"/>
          </w:tcPr>
          <w:p w:rsidR="001A6775">
            <w:pPr>
              <w:bidi w:val="0"/>
              <w:spacing w:after="0" w:afterAutospacing="1"/>
              <w:jc w:val="right"/>
              <w:rPr>
                <w:b w:val="0"/>
                <w:sz w:val="20"/>
              </w:rPr>
            </w:pPr>
            <w:r>
              <w:rPr>
                <w:b w:val="0"/>
                <w:sz w:val="20"/>
              </w:rPr>
              <w:t>8.9</w:t>
            </w:r>
          </w:p>
        </w:tc>
        <w:tc>
          <w:tcPr>
            <w:vAlign w:val="center"/>
          </w:tcPr>
          <w:p w:rsidR="001A6775">
            <w:pPr>
              <w:bidi w:val="0"/>
              <w:spacing w:after="0" w:afterAutospacing="1"/>
              <w:jc w:val="right"/>
              <w:rPr>
                <w:b w:val="0"/>
                <w:sz w:val="20"/>
              </w:rPr>
            </w:pPr>
            <w:r>
              <w:rPr>
                <w:b w:val="0"/>
                <w:sz w:val="20"/>
              </w:rPr>
              <w:t>8.7</w:t>
            </w:r>
          </w:p>
        </w:tc>
        <w:tc>
          <w:tcPr>
            <w:vAlign w:val="center"/>
          </w:tcPr>
          <w:p w:rsidR="001A6775">
            <w:pPr>
              <w:bidi w:val="0"/>
              <w:spacing w:after="0" w:afterAutospacing="1"/>
              <w:jc w:val="right"/>
              <w:rPr>
                <w:b w:val="0"/>
                <w:sz w:val="20"/>
              </w:rPr>
            </w:pPr>
            <w:r>
              <w:rPr>
                <w:b w:val="0"/>
                <w:sz w:val="20"/>
              </w:rPr>
              <w:t>+542</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Health Care and Social Assistance</w:t>
            </w:r>
          </w:p>
        </w:tc>
        <w:tc>
          <w:tcPr>
            <w:vAlign w:val="center"/>
          </w:tcPr>
          <w:p w:rsidR="001A6775">
            <w:pPr>
              <w:bidi w:val="0"/>
              <w:spacing w:after="0" w:afterAutospacing="1"/>
              <w:jc w:val="right"/>
              <w:rPr>
                <w:b w:val="0"/>
                <w:sz w:val="20"/>
              </w:rPr>
            </w:pPr>
            <w:r>
              <w:rPr>
                <w:b w:val="0"/>
                <w:sz w:val="20"/>
              </w:rPr>
              <w:t>10,759</w:t>
            </w:r>
          </w:p>
        </w:tc>
        <w:tc>
          <w:tcPr>
            <w:vAlign w:val="center"/>
          </w:tcPr>
          <w:p w:rsidR="001A6775">
            <w:pPr>
              <w:bidi w:val="0"/>
              <w:spacing w:after="0" w:afterAutospacing="1"/>
              <w:jc w:val="right"/>
              <w:rPr>
                <w:b w:val="0"/>
                <w:sz w:val="20"/>
              </w:rPr>
            </w:pPr>
            <w:r>
              <w:rPr>
                <w:b w:val="0"/>
                <w:sz w:val="20"/>
              </w:rPr>
              <w:t>19.1</w:t>
            </w:r>
          </w:p>
        </w:tc>
        <w:tc>
          <w:tcPr>
            <w:vAlign w:val="center"/>
          </w:tcPr>
          <w:p w:rsidR="001A6775">
            <w:pPr>
              <w:bidi w:val="0"/>
              <w:spacing w:after="0" w:afterAutospacing="1"/>
              <w:jc w:val="right"/>
              <w:rPr>
                <w:b w:val="0"/>
                <w:sz w:val="20"/>
              </w:rPr>
            </w:pPr>
            <w:r>
              <w:rPr>
                <w:b w:val="0"/>
                <w:sz w:val="20"/>
              </w:rPr>
              <w:t>16.2</w:t>
            </w:r>
          </w:p>
        </w:tc>
        <w:tc>
          <w:tcPr>
            <w:vAlign w:val="center"/>
          </w:tcPr>
          <w:p w:rsidR="001A6775">
            <w:pPr>
              <w:bidi w:val="0"/>
              <w:spacing w:after="0" w:afterAutospacing="1"/>
              <w:jc w:val="right"/>
              <w:rPr>
                <w:b w:val="0"/>
                <w:sz w:val="20"/>
              </w:rPr>
            </w:pPr>
            <w:r>
              <w:rPr>
                <w:b w:val="0"/>
                <w:sz w:val="20"/>
              </w:rPr>
              <w:t>8,117</w:t>
            </w:r>
          </w:p>
        </w:tc>
        <w:tc>
          <w:tcPr>
            <w:vAlign w:val="center"/>
          </w:tcPr>
          <w:p w:rsidR="001A6775">
            <w:pPr>
              <w:bidi w:val="0"/>
              <w:spacing w:after="0" w:afterAutospacing="1"/>
              <w:jc w:val="right"/>
              <w:rPr>
                <w:b w:val="0"/>
                <w:sz w:val="20"/>
              </w:rPr>
            </w:pPr>
            <w:r>
              <w:rPr>
                <w:b w:val="0"/>
                <w:sz w:val="20"/>
              </w:rPr>
              <w:t>16.7</w:t>
            </w:r>
          </w:p>
        </w:tc>
        <w:tc>
          <w:tcPr>
            <w:vAlign w:val="center"/>
          </w:tcPr>
          <w:p w:rsidR="001A6775">
            <w:pPr>
              <w:bidi w:val="0"/>
              <w:spacing w:after="0" w:afterAutospacing="1"/>
              <w:jc w:val="right"/>
              <w:rPr>
                <w:b w:val="0"/>
                <w:sz w:val="20"/>
              </w:rPr>
            </w:pPr>
            <w:r>
              <w:rPr>
                <w:b w:val="0"/>
                <w:sz w:val="20"/>
              </w:rPr>
              <w:t>14.3</w:t>
            </w:r>
          </w:p>
        </w:tc>
        <w:tc>
          <w:tcPr>
            <w:vAlign w:val="center"/>
          </w:tcPr>
          <w:p w:rsidR="001A6775">
            <w:pPr>
              <w:bidi w:val="0"/>
              <w:spacing w:after="0" w:afterAutospacing="1"/>
              <w:jc w:val="right"/>
              <w:rPr>
                <w:b w:val="0"/>
                <w:sz w:val="20"/>
              </w:rPr>
            </w:pPr>
            <w:r>
              <w:rPr>
                <w:b w:val="0"/>
                <w:sz w:val="20"/>
              </w:rPr>
              <w:t>+2,642</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Arts and Recreation Services</w:t>
            </w:r>
          </w:p>
        </w:tc>
        <w:tc>
          <w:tcPr>
            <w:vAlign w:val="center"/>
          </w:tcPr>
          <w:p w:rsidR="001A6775">
            <w:pPr>
              <w:bidi w:val="0"/>
              <w:spacing w:after="0" w:afterAutospacing="1"/>
              <w:jc w:val="right"/>
              <w:rPr>
                <w:b w:val="0"/>
                <w:sz w:val="20"/>
              </w:rPr>
            </w:pPr>
            <w:r>
              <w:rPr>
                <w:b w:val="0"/>
                <w:sz w:val="20"/>
              </w:rPr>
              <w:t>802</w:t>
            </w:r>
          </w:p>
        </w:tc>
        <w:tc>
          <w:tcPr>
            <w:vAlign w:val="center"/>
          </w:tcPr>
          <w:p w:rsidR="001A6775">
            <w:pPr>
              <w:bidi w:val="0"/>
              <w:spacing w:after="0" w:afterAutospacing="1"/>
              <w:jc w:val="right"/>
              <w:rPr>
                <w:b w:val="0"/>
                <w:sz w:val="20"/>
              </w:rPr>
            </w:pPr>
            <w:r>
              <w:rPr>
                <w:b w:val="0"/>
                <w:sz w:val="20"/>
              </w:rPr>
              <w:t>1.4</w:t>
            </w:r>
          </w:p>
        </w:tc>
        <w:tc>
          <w:tcPr>
            <w:vAlign w:val="center"/>
          </w:tcPr>
          <w:p w:rsidR="001A6775">
            <w:pPr>
              <w:bidi w:val="0"/>
              <w:spacing w:after="0" w:afterAutospacing="1"/>
              <w:jc w:val="right"/>
              <w:rPr>
                <w:b w:val="0"/>
                <w:sz w:val="20"/>
              </w:rPr>
            </w:pPr>
            <w:r>
              <w:rPr>
                <w:b w:val="0"/>
                <w:sz w:val="20"/>
              </w:rPr>
              <w:t>1.5</w:t>
            </w:r>
          </w:p>
        </w:tc>
        <w:tc>
          <w:tcPr>
            <w:vAlign w:val="center"/>
          </w:tcPr>
          <w:p w:rsidR="001A6775">
            <w:pPr>
              <w:bidi w:val="0"/>
              <w:spacing w:after="0" w:afterAutospacing="1"/>
              <w:jc w:val="right"/>
              <w:rPr>
                <w:b w:val="0"/>
                <w:sz w:val="20"/>
              </w:rPr>
            </w:pPr>
            <w:r>
              <w:rPr>
                <w:b w:val="0"/>
                <w:sz w:val="20"/>
              </w:rPr>
              <w:t>690</w:t>
            </w:r>
          </w:p>
        </w:tc>
        <w:tc>
          <w:tcPr>
            <w:vAlign w:val="center"/>
          </w:tcPr>
          <w:p w:rsidR="001A6775">
            <w:pPr>
              <w:bidi w:val="0"/>
              <w:spacing w:after="0" w:afterAutospacing="1"/>
              <w:jc w:val="right"/>
              <w:rPr>
                <w:b w:val="0"/>
                <w:sz w:val="20"/>
              </w:rPr>
            </w:pPr>
            <w:r>
              <w:rPr>
                <w:b w:val="0"/>
                <w:sz w:val="20"/>
              </w:rPr>
              <w:t>1.4</w:t>
            </w:r>
          </w:p>
        </w:tc>
        <w:tc>
          <w:tcPr>
            <w:vAlign w:val="center"/>
          </w:tcPr>
          <w:p w:rsidR="001A6775">
            <w:pPr>
              <w:bidi w:val="0"/>
              <w:spacing w:after="0" w:afterAutospacing="1"/>
              <w:jc w:val="right"/>
              <w:rPr>
                <w:b w:val="0"/>
                <w:sz w:val="20"/>
              </w:rPr>
            </w:pPr>
            <w:r>
              <w:rPr>
                <w:b w:val="0"/>
                <w:sz w:val="20"/>
              </w:rPr>
              <w:t>1.5</w:t>
            </w:r>
          </w:p>
        </w:tc>
        <w:tc>
          <w:tcPr>
            <w:vAlign w:val="center"/>
          </w:tcPr>
          <w:p w:rsidR="001A6775">
            <w:pPr>
              <w:bidi w:val="0"/>
              <w:spacing w:after="0" w:afterAutospacing="1"/>
              <w:jc w:val="right"/>
              <w:rPr>
                <w:b w:val="0"/>
                <w:sz w:val="20"/>
              </w:rPr>
            </w:pPr>
            <w:r>
              <w:rPr>
                <w:b w:val="0"/>
                <w:sz w:val="20"/>
              </w:rPr>
              <w:t>+112</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Other Services</w:t>
            </w:r>
          </w:p>
        </w:tc>
        <w:tc>
          <w:tcPr>
            <w:vAlign w:val="center"/>
          </w:tcPr>
          <w:p w:rsidR="001A6775">
            <w:pPr>
              <w:bidi w:val="0"/>
              <w:spacing w:after="0" w:afterAutospacing="1"/>
              <w:jc w:val="right"/>
              <w:rPr>
                <w:b w:val="0"/>
                <w:sz w:val="20"/>
              </w:rPr>
            </w:pPr>
            <w:r>
              <w:rPr>
                <w:b w:val="0"/>
                <w:sz w:val="20"/>
              </w:rPr>
              <w:t>2,101</w:t>
            </w:r>
          </w:p>
        </w:tc>
        <w:tc>
          <w:tcPr>
            <w:vAlign w:val="center"/>
          </w:tcPr>
          <w:p w:rsidR="001A6775">
            <w:pPr>
              <w:bidi w:val="0"/>
              <w:spacing w:after="0" w:afterAutospacing="1"/>
              <w:jc w:val="right"/>
              <w:rPr>
                <w:b w:val="0"/>
                <w:sz w:val="20"/>
              </w:rPr>
            </w:pPr>
            <w:r>
              <w:rPr>
                <w:b w:val="0"/>
                <w:sz w:val="20"/>
              </w:rPr>
              <w:t>3.7</w:t>
            </w:r>
          </w:p>
        </w:tc>
        <w:tc>
          <w:tcPr>
            <w:vAlign w:val="center"/>
          </w:tcPr>
          <w:p w:rsidR="001A6775">
            <w:pPr>
              <w:bidi w:val="0"/>
              <w:spacing w:after="0" w:afterAutospacing="1"/>
              <w:jc w:val="right"/>
              <w:rPr>
                <w:b w:val="0"/>
                <w:sz w:val="20"/>
              </w:rPr>
            </w:pPr>
            <w:r>
              <w:rPr>
                <w:b w:val="0"/>
                <w:sz w:val="20"/>
              </w:rPr>
              <w:t>3.6</w:t>
            </w:r>
          </w:p>
        </w:tc>
        <w:tc>
          <w:tcPr>
            <w:vAlign w:val="center"/>
          </w:tcPr>
          <w:p w:rsidR="001A6775">
            <w:pPr>
              <w:bidi w:val="0"/>
              <w:spacing w:after="0" w:afterAutospacing="1"/>
              <w:jc w:val="right"/>
              <w:rPr>
                <w:b w:val="0"/>
                <w:sz w:val="20"/>
              </w:rPr>
            </w:pPr>
            <w:r>
              <w:rPr>
                <w:b w:val="0"/>
                <w:sz w:val="20"/>
              </w:rPr>
              <w:t>1,835</w:t>
            </w:r>
          </w:p>
        </w:tc>
        <w:tc>
          <w:tcPr>
            <w:vAlign w:val="center"/>
          </w:tcPr>
          <w:p w:rsidR="001A6775">
            <w:pPr>
              <w:bidi w:val="0"/>
              <w:spacing w:after="0" w:afterAutospacing="1"/>
              <w:jc w:val="right"/>
              <w:rPr>
                <w:b w:val="0"/>
                <w:sz w:val="20"/>
              </w:rPr>
            </w:pPr>
            <w:r>
              <w:rPr>
                <w:b w:val="0"/>
                <w:sz w:val="20"/>
              </w:rPr>
              <w:t>3.8</w:t>
            </w:r>
          </w:p>
        </w:tc>
        <w:tc>
          <w:tcPr>
            <w:vAlign w:val="center"/>
          </w:tcPr>
          <w:p w:rsidR="001A6775">
            <w:pPr>
              <w:bidi w:val="0"/>
              <w:spacing w:after="0" w:afterAutospacing="1"/>
              <w:jc w:val="right"/>
              <w:rPr>
                <w:b w:val="0"/>
                <w:sz w:val="20"/>
              </w:rPr>
            </w:pPr>
            <w:r>
              <w:rPr>
                <w:b w:val="0"/>
                <w:sz w:val="20"/>
              </w:rPr>
              <w:t>3.6</w:t>
            </w:r>
          </w:p>
        </w:tc>
        <w:tc>
          <w:tcPr>
            <w:vAlign w:val="center"/>
          </w:tcPr>
          <w:p w:rsidR="001A6775">
            <w:pPr>
              <w:bidi w:val="0"/>
              <w:spacing w:after="0" w:afterAutospacing="1"/>
              <w:jc w:val="right"/>
              <w:rPr>
                <w:b w:val="0"/>
                <w:sz w:val="20"/>
              </w:rPr>
            </w:pPr>
            <w:r>
              <w:rPr>
                <w:b w:val="0"/>
                <w:sz w:val="20"/>
              </w:rPr>
              <w:t>+266</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Inadequately described or not stated</w:t>
            </w:r>
          </w:p>
        </w:tc>
        <w:tc>
          <w:tcPr>
            <w:vAlign w:val="center"/>
          </w:tcPr>
          <w:p w:rsidR="001A6775">
            <w:pPr>
              <w:bidi w:val="0"/>
              <w:spacing w:after="0" w:afterAutospacing="1"/>
              <w:jc w:val="right"/>
              <w:rPr>
                <w:b w:val="0"/>
                <w:sz w:val="20"/>
              </w:rPr>
            </w:pPr>
            <w:r>
              <w:rPr>
                <w:b w:val="0"/>
                <w:sz w:val="20"/>
              </w:rPr>
              <w:t>1,969</w:t>
            </w:r>
          </w:p>
        </w:tc>
        <w:tc>
          <w:tcPr>
            <w:vAlign w:val="center"/>
          </w:tcPr>
          <w:p w:rsidR="001A6775">
            <w:pPr>
              <w:bidi w:val="0"/>
              <w:spacing w:after="0" w:afterAutospacing="1"/>
              <w:jc w:val="right"/>
              <w:rPr>
                <w:b w:val="0"/>
                <w:sz w:val="20"/>
              </w:rPr>
            </w:pPr>
            <w:r>
              <w:rPr>
                <w:b w:val="0"/>
                <w:sz w:val="20"/>
              </w:rPr>
              <w:t>3.5</w:t>
            </w:r>
          </w:p>
        </w:tc>
        <w:tc>
          <w:tcPr>
            <w:vAlign w:val="center"/>
          </w:tcPr>
          <w:p w:rsidR="001A6775">
            <w:pPr>
              <w:bidi w:val="0"/>
              <w:spacing w:after="0" w:afterAutospacing="1"/>
              <w:jc w:val="right"/>
              <w:rPr>
                <w:b w:val="0"/>
                <w:sz w:val="20"/>
              </w:rPr>
            </w:pPr>
            <w:r>
              <w:rPr>
                <w:b w:val="0"/>
                <w:sz w:val="20"/>
              </w:rPr>
              <w:t>3.9</w:t>
            </w:r>
          </w:p>
        </w:tc>
        <w:tc>
          <w:tcPr>
            <w:vAlign w:val="center"/>
          </w:tcPr>
          <w:p w:rsidR="001A6775">
            <w:pPr>
              <w:bidi w:val="0"/>
              <w:spacing w:after="0" w:afterAutospacing="1"/>
              <w:jc w:val="right"/>
              <w:rPr>
                <w:b w:val="0"/>
                <w:sz w:val="20"/>
              </w:rPr>
            </w:pPr>
            <w:r>
              <w:rPr>
                <w:b w:val="0"/>
                <w:sz w:val="20"/>
              </w:rPr>
              <w:t>1,726</w:t>
            </w:r>
          </w:p>
        </w:tc>
        <w:tc>
          <w:tcPr>
            <w:vAlign w:val="center"/>
          </w:tcPr>
          <w:p w:rsidR="001A6775">
            <w:pPr>
              <w:bidi w:val="0"/>
              <w:spacing w:after="0" w:afterAutospacing="1"/>
              <w:jc w:val="right"/>
              <w:rPr>
                <w:b w:val="0"/>
                <w:sz w:val="20"/>
              </w:rPr>
            </w:pPr>
            <w:r>
              <w:rPr>
                <w:b w:val="0"/>
                <w:sz w:val="20"/>
              </w:rPr>
              <w:t>3.5</w:t>
            </w:r>
          </w:p>
        </w:tc>
        <w:tc>
          <w:tcPr>
            <w:vAlign w:val="center"/>
          </w:tcPr>
          <w:p w:rsidR="001A6775">
            <w:pPr>
              <w:bidi w:val="0"/>
              <w:spacing w:after="0" w:afterAutospacing="1"/>
              <w:jc w:val="right"/>
              <w:rPr>
                <w:b w:val="0"/>
                <w:sz w:val="20"/>
              </w:rPr>
            </w:pPr>
            <w:r>
              <w:rPr>
                <w:b w:val="0"/>
                <w:sz w:val="20"/>
              </w:rPr>
              <w:t>4.0</w:t>
            </w:r>
          </w:p>
        </w:tc>
        <w:tc>
          <w:tcPr>
            <w:vAlign w:val="center"/>
          </w:tcPr>
          <w:p w:rsidR="001A6775">
            <w:pPr>
              <w:bidi w:val="0"/>
              <w:spacing w:after="0" w:afterAutospacing="1"/>
              <w:jc w:val="right"/>
              <w:rPr>
                <w:b w:val="0"/>
                <w:sz w:val="20"/>
              </w:rPr>
            </w:pPr>
            <w:r>
              <w:rPr>
                <w:b w:val="0"/>
                <w:sz w:val="20"/>
              </w:rPr>
              <w:t>+243</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sz w:val="20"/>
              </w:rPr>
            </w:pPr>
            <w:r>
              <w:rPr>
                <w:b/>
                <w:sz w:val="20"/>
              </w:rPr>
              <w:t>Total employed persons aged 15+</w:t>
            </w:r>
          </w:p>
        </w:tc>
        <w:tc>
          <w:tcPr>
            <w:vAlign w:val="center"/>
          </w:tcPr>
          <w:p w:rsidR="001A6775">
            <w:pPr>
              <w:bidi w:val="0"/>
              <w:spacing w:after="0" w:afterAutospacing="1"/>
              <w:jc w:val="right"/>
              <w:rPr>
                <w:b/>
                <w:sz w:val="20"/>
              </w:rPr>
            </w:pPr>
            <w:r>
              <w:rPr>
                <w:b/>
                <w:sz w:val="20"/>
              </w:rPr>
              <w:t>56,305</w:t>
            </w:r>
          </w:p>
        </w:tc>
        <w:tc>
          <w:tcPr>
            <w:vAlign w:val="center"/>
          </w:tcPr>
          <w:p w:rsidR="001A6775">
            <w:pPr>
              <w:bidi w:val="0"/>
              <w:spacing w:after="0" w:afterAutospacing="1"/>
              <w:jc w:val="right"/>
              <w:rPr>
                <w:b/>
                <w:sz w:val="20"/>
              </w:rPr>
            </w:pPr>
            <w:r>
              <w:rPr>
                <w:b/>
                <w:sz w:val="20"/>
              </w:rPr>
              <w:t>100.0</w:t>
            </w:r>
          </w:p>
        </w:tc>
        <w:tc>
          <w:tcPr>
            <w:vAlign w:val="center"/>
          </w:tcPr>
          <w:p w:rsidR="001A6775">
            <w:pPr>
              <w:bidi w:val="0"/>
              <w:spacing w:after="0" w:afterAutospacing="1"/>
              <w:jc w:val="right"/>
              <w:rPr>
                <w:b/>
                <w:sz w:val="20"/>
              </w:rPr>
            </w:pPr>
            <w:r>
              <w:rPr>
                <w:b/>
                <w:sz w:val="20"/>
              </w:rPr>
              <w:t>100.0</w:t>
            </w:r>
          </w:p>
        </w:tc>
        <w:tc>
          <w:tcPr>
            <w:vAlign w:val="center"/>
          </w:tcPr>
          <w:p w:rsidR="001A6775">
            <w:pPr>
              <w:bidi w:val="0"/>
              <w:spacing w:after="0" w:afterAutospacing="1"/>
              <w:jc w:val="right"/>
              <w:rPr>
                <w:b/>
                <w:sz w:val="20"/>
              </w:rPr>
            </w:pPr>
            <w:r>
              <w:rPr>
                <w:b/>
                <w:sz w:val="20"/>
              </w:rPr>
              <w:t>48,666</w:t>
            </w:r>
          </w:p>
        </w:tc>
        <w:tc>
          <w:tcPr>
            <w:vAlign w:val="center"/>
          </w:tcPr>
          <w:p w:rsidR="001A6775">
            <w:pPr>
              <w:bidi w:val="0"/>
              <w:spacing w:after="0" w:afterAutospacing="1"/>
              <w:jc w:val="right"/>
              <w:rPr>
                <w:b/>
                <w:sz w:val="20"/>
              </w:rPr>
            </w:pPr>
            <w:r>
              <w:rPr>
                <w:b/>
                <w:sz w:val="20"/>
              </w:rPr>
              <w:t>100.0</w:t>
            </w:r>
          </w:p>
        </w:tc>
        <w:tc>
          <w:tcPr>
            <w:vAlign w:val="center"/>
          </w:tcPr>
          <w:p w:rsidR="001A6775">
            <w:pPr>
              <w:bidi w:val="0"/>
              <w:spacing w:after="0" w:afterAutospacing="1"/>
              <w:jc w:val="right"/>
              <w:rPr>
                <w:b/>
                <w:sz w:val="20"/>
              </w:rPr>
            </w:pPr>
            <w:r>
              <w:rPr>
                <w:b/>
                <w:sz w:val="20"/>
              </w:rPr>
              <w:t>100.0</w:t>
            </w:r>
          </w:p>
        </w:tc>
        <w:tc>
          <w:tcPr>
            <w:vAlign w:val="center"/>
          </w:tcPr>
          <w:p w:rsidR="001A6775">
            <w:pPr>
              <w:bidi w:val="0"/>
              <w:spacing w:after="0" w:afterAutospacing="1"/>
              <w:jc w:val="right"/>
              <w:rPr>
                <w:b/>
                <w:sz w:val="20"/>
              </w:rPr>
            </w:pPr>
            <w:r>
              <w:rPr>
                <w:b/>
                <w:sz w:val="20"/>
              </w:rPr>
              <w:t>+7,639</w:t>
            </w:r>
          </w:p>
        </w:tc>
      </w:tr>
    </w:tbl>
    <w:p w:rsidR="001A6775">
      <w:pPr>
        <w:bidi w:val="0"/>
        <w:spacing w:after="0" w:afterAutospacing="1"/>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height:286pt;width:481pt">
            <v:imagedata r:id="rId5" o:title=""/>
          </v:shape>
        </w:pict>
      </w:r>
    </w:p>
    <w:p w:rsidR="001A6775">
      <w:pPr>
        <w:bidi w:val="0"/>
        <w:spacing w:after="0" w:afterAutospacing="1"/>
        <w:jc w:val="center"/>
      </w:pPr>
      <w:r>
        <w:pict>
          <v:shape id="_x0000_i1026" type="#_x0000_t75" style="height:422.5pt;width:481pt">
            <v:imagedata r:id="rId6" o:title=""/>
          </v:shape>
        </w:pict>
      </w:r>
    </w:p>
    <w:p w:rsidR="001A6775">
      <w:pPr>
        <w:bidi w:val="0"/>
        <w:spacing w:after="280" w:afterAutospacing="1"/>
      </w:pPr>
      <w:r>
        <w:rPr>
          <w:rtl w:val="0"/>
        </w:rPr>
        <w:t>An analysis of the jobs held by the resident population in City of Greater Bendigo in 2021 shows the three most popular industry sectors were:</w:t>
      </w:r>
    </w:p>
    <w:p>
      <w:pPr>
        <w:numPr>
          <w:ilvl w:val="0"/>
          <w:numId w:val="1"/>
        </w:numPr>
        <w:bidi w:val="0"/>
        <w:spacing w:after="0" w:afterAutospacing="0"/>
        <w:rPr>
          <w:rtl w:val="0"/>
        </w:rPr>
      </w:pPr>
      <w:r>
        <w:rPr>
          <w:rtl w:val="0"/>
        </w:rPr>
        <w:t>Health Care and Social Assistance (10,759 people or 19.1%)</w:t>
      </w:r>
    </w:p>
    <w:p>
      <w:pPr>
        <w:numPr>
          <w:ilvl w:val="0"/>
          <w:numId w:val="1"/>
        </w:numPr>
        <w:bidi w:val="0"/>
        <w:spacing w:after="0" w:afterAutospacing="0"/>
        <w:ind w:left="720"/>
        <w:rPr>
          <w:rtl w:val="0"/>
        </w:rPr>
      </w:pPr>
      <w:r>
        <w:rPr>
          <w:rtl w:val="0"/>
        </w:rPr>
        <w:t>Retail Trade (5,543 people or 9.8%)</w:t>
      </w:r>
    </w:p>
    <w:p>
      <w:pPr>
        <w:numPr>
          <w:ilvl w:val="0"/>
          <w:numId w:val="1"/>
        </w:numPr>
        <w:bidi w:val="0"/>
        <w:spacing w:after="280" w:afterAutospacing="1"/>
        <w:ind w:left="720"/>
        <w:rPr>
          <w:rtl w:val="0"/>
        </w:rPr>
      </w:pPr>
      <w:r>
        <w:rPr>
          <w:rtl w:val="0"/>
        </w:rPr>
        <w:t>Construction (5,334 people or 9.5%)</w:t>
      </w:r>
    </w:p>
    <w:p>
      <w:pPr>
        <w:bidi w:val="0"/>
        <w:spacing w:after="280" w:afterAutospacing="1"/>
        <w:rPr>
          <w:rtl w:val="0"/>
        </w:rPr>
      </w:pPr>
      <w:r>
        <w:rPr>
          <w:rtl w:val="0"/>
        </w:rPr>
        <w:t>In combination, these three industries employed 21,636 people in total or 38.4% of the total employed resident population.</w:t>
      </w:r>
    </w:p>
    <w:p>
      <w:pPr>
        <w:bidi w:val="0"/>
        <w:spacing w:after="280" w:afterAutospacing="1"/>
        <w:rPr>
          <w:rtl w:val="0"/>
        </w:rPr>
      </w:pPr>
      <w:r>
        <w:rPr>
          <w:rtl w:val="0"/>
        </w:rPr>
        <w:t>In comparison, Regional VIC employed 16.2% in Health Care and Social Assistance; 9.5% in Retail Trade; and 10.0% in Construction.</w:t>
      </w:r>
    </w:p>
    <w:p>
      <w:pPr>
        <w:bidi w:val="0"/>
        <w:spacing w:after="280" w:afterAutospacing="1"/>
        <w:rPr>
          <w:rtl w:val="0"/>
        </w:rPr>
      </w:pPr>
      <w:r>
        <w:rPr>
          <w:rtl w:val="0"/>
        </w:rPr>
        <w:t>The major differences between the jobs held by the population of the City of Greater Bendigo and Regional VIC were:</w:t>
      </w:r>
    </w:p>
    <w:p>
      <w:pPr>
        <w:numPr>
          <w:ilvl w:val="0"/>
          <w:numId w:val="2"/>
        </w:numPr>
        <w:bidi w:val="0"/>
        <w:spacing w:after="0" w:afterAutospacing="0"/>
        <w:rPr>
          <w:rtl w:val="0"/>
        </w:rPr>
      </w:pPr>
      <w:r>
        <w:rPr>
          <w:rtl w:val="0"/>
        </w:rPr>
        <w:t xml:space="preserve">A </w:t>
      </w:r>
      <w:r>
        <w:rPr>
          <w:i/>
          <w:iCs/>
          <w:rtl w:val="0"/>
        </w:rPr>
        <w:t>larger</w:t>
      </w:r>
      <w:r>
        <w:rPr>
          <w:rtl w:val="0"/>
        </w:rPr>
        <w:t xml:space="preserve"> percentage of persons employed in health care and social assistance (19.1% compared to 16.2%)</w:t>
      </w:r>
    </w:p>
    <w:p>
      <w:pPr>
        <w:numPr>
          <w:ilvl w:val="0"/>
          <w:numId w:val="2"/>
        </w:numPr>
        <w:bidi w:val="0"/>
        <w:spacing w:after="0" w:afterAutospacing="0"/>
        <w:ind w:left="720"/>
        <w:rPr>
          <w:rtl w:val="0"/>
        </w:rPr>
      </w:pPr>
      <w:r>
        <w:rPr>
          <w:rtl w:val="0"/>
        </w:rPr>
        <w:t xml:space="preserve">A </w:t>
      </w:r>
      <w:r>
        <w:rPr>
          <w:i/>
          <w:iCs/>
          <w:rtl w:val="0"/>
        </w:rPr>
        <w:t>larger</w:t>
      </w:r>
      <w:r>
        <w:rPr>
          <w:rtl w:val="0"/>
        </w:rPr>
        <w:t xml:space="preserve"> percentage of persons employed in financial and insurance services (3.4% compared to 1.9%)</w:t>
      </w:r>
    </w:p>
    <w:p>
      <w:pPr>
        <w:numPr>
          <w:ilvl w:val="0"/>
          <w:numId w:val="2"/>
        </w:numPr>
        <w:bidi w:val="0"/>
        <w:spacing w:after="0" w:afterAutospacing="0"/>
        <w:ind w:left="720"/>
        <w:rPr>
          <w:rtl w:val="0"/>
        </w:rPr>
      </w:pPr>
      <w:r>
        <w:rPr>
          <w:rtl w:val="0"/>
        </w:rPr>
        <w:t xml:space="preserve">A </w:t>
      </w:r>
      <w:r>
        <w:rPr>
          <w:i/>
          <w:iCs/>
          <w:rtl w:val="0"/>
        </w:rPr>
        <w:t>larger</w:t>
      </w:r>
      <w:r>
        <w:rPr>
          <w:rtl w:val="0"/>
        </w:rPr>
        <w:t xml:space="preserve"> percentage of persons employed in mining (2.0% compared to 0.7%)</w:t>
      </w:r>
    </w:p>
    <w:p>
      <w:pPr>
        <w:numPr>
          <w:ilvl w:val="0"/>
          <w:numId w:val="2"/>
        </w:numPr>
        <w:bidi w:val="0"/>
        <w:spacing w:after="280" w:afterAutospacing="1"/>
        <w:ind w:left="720"/>
        <w:rPr>
          <w:rtl w:val="0"/>
        </w:rPr>
      </w:pPr>
      <w:r>
        <w:rPr>
          <w:rtl w:val="0"/>
        </w:rPr>
        <w:t xml:space="preserve">A </w:t>
      </w:r>
      <w:r>
        <w:rPr>
          <w:i/>
          <w:iCs/>
          <w:rtl w:val="0"/>
        </w:rPr>
        <w:t>smaller</w:t>
      </w:r>
      <w:r>
        <w:rPr>
          <w:rtl w:val="0"/>
        </w:rPr>
        <w:t xml:space="preserve"> percentage of persons employed in agriculture, forestry and fishing (2.3% compared to 7.2%)</w:t>
      </w:r>
    </w:p>
    <w:p w:rsidR="001A6775">
      <w:pPr>
        <w:bidi w:val="0"/>
        <w:spacing w:after="280" w:afterAutospacing="1"/>
      </w:pPr>
      <w:r>
        <w:rPr>
          <w:rtl w:val="0"/>
        </w:rPr>
        <w:t>The number of employed people in City of Greater Bendigo increased by 7,639 between 2016 and 2021.</w:t>
      </w:r>
    </w:p>
    <w:p>
      <w:pPr>
        <w:bidi w:val="0"/>
        <w:spacing w:after="280" w:afterAutospacing="1"/>
        <w:rPr>
          <w:rtl w:val="0"/>
        </w:rPr>
      </w:pPr>
      <w:r>
        <w:rPr>
          <w:rtl w:val="0"/>
        </w:rPr>
        <w:t>The largest changes in the jobs held by the resident population between 2016 and 2021 in the City of Greater Bendigo were for those employed in:</w:t>
      </w:r>
    </w:p>
    <w:p>
      <w:pPr>
        <w:numPr>
          <w:ilvl w:val="0"/>
          <w:numId w:val="3"/>
        </w:numPr>
        <w:bidi w:val="0"/>
        <w:spacing w:after="0" w:afterAutospacing="0"/>
        <w:rPr>
          <w:rtl w:val="0"/>
        </w:rPr>
      </w:pPr>
      <w:r>
        <w:rPr>
          <w:rtl w:val="0"/>
        </w:rPr>
        <w:t>Health Care and Social Assistance (+2,642 persons)</w:t>
      </w:r>
    </w:p>
    <w:p>
      <w:pPr>
        <w:numPr>
          <w:ilvl w:val="0"/>
          <w:numId w:val="3"/>
        </w:numPr>
        <w:bidi w:val="0"/>
        <w:spacing w:after="0" w:afterAutospacing="0"/>
        <w:ind w:left="720"/>
        <w:rPr>
          <w:rtl w:val="0"/>
        </w:rPr>
      </w:pPr>
      <w:r>
        <w:rPr>
          <w:rtl w:val="0"/>
        </w:rPr>
        <w:t>Construction (+932 persons)</w:t>
      </w:r>
    </w:p>
    <w:p>
      <w:pPr>
        <w:numPr>
          <w:ilvl w:val="0"/>
          <w:numId w:val="3"/>
        </w:numPr>
        <w:bidi w:val="0"/>
        <w:spacing w:after="0" w:afterAutospacing="0"/>
        <w:ind w:left="720"/>
        <w:rPr>
          <w:rtl w:val="0"/>
        </w:rPr>
      </w:pPr>
      <w:r>
        <w:rPr>
          <w:rtl w:val="0"/>
        </w:rPr>
        <w:t>Public Administration and Safety (+616 persons)</w:t>
      </w:r>
    </w:p>
    <w:p>
      <w:pPr>
        <w:numPr>
          <w:ilvl w:val="0"/>
          <w:numId w:val="3"/>
        </w:numPr>
        <w:bidi w:val="0"/>
        <w:spacing w:after="280" w:afterAutospacing="1"/>
        <w:ind w:left="720"/>
        <w:rPr>
          <w:rtl w:val="0"/>
        </w:rPr>
      </w:pPr>
      <w:r>
        <w:rPr>
          <w:rtl w:val="0"/>
        </w:rPr>
        <w:t>Education and Training (+542 persons)</w:t>
      </w:r>
    </w:p>
    <w:p w:rsidR="001A6775">
      <w:pPr>
        <w:bidi w:val="0"/>
        <w:spacing w:after="280" w:afterAutospacing="1"/>
      </w:pPr>
    </w:p>
    <w:sectPr w:rsidSect="001A6775">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rsidRPr="003B2940" w:rsidP="003B294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clrSchemeMapping w:bg1="light1" w:t1="dark1" w:bg2="light2" w:t2="dark2" w:accent1="accent1" w:accent2="accent2" w:accent3="accent3" w:accent4="accent4" w:accent5="accent5" w:accent6="accent6" w:hyperlink="hyperlink" w:followedHyperlink="followedHyperlink"/>
  <w:proofState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775"/>
    <w:pPr>
      <w:spacing w:after="200" w:line="276" w:lineRule="auto"/>
    </w:pPr>
    <w:rPr>
      <w:sz w:val="22"/>
      <w:szCs w:val="22"/>
      <w:lang w:val="en-AU" w:eastAsia="en-US" w:bidi="ar-SA"/>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284D"/>
    <w:pPr>
      <w:tabs>
        <w:tab w:val="center" w:pos="4513"/>
        <w:tab w:val="right" w:pos="9026"/>
      </w:tabs>
    </w:pPr>
  </w:style>
  <w:style w:type="character" w:customStyle="1" w:styleId="HeaderChar">
    <w:name w:val="Header Char"/>
    <w:link w:val="Header"/>
    <w:uiPriority w:val="99"/>
    <w:rsid w:val="0032284D"/>
    <w:rPr>
      <w:sz w:val="22"/>
      <w:szCs w:val="22"/>
      <w:lang w:eastAsia="en-US"/>
    </w:rPr>
  </w:style>
  <w:style w:type="paragraph" w:styleId="Footer">
    <w:name w:val="footer"/>
    <w:basedOn w:val="Normal"/>
    <w:link w:val="FooterChar"/>
    <w:uiPriority w:val="99"/>
    <w:unhideWhenUsed/>
    <w:rsid w:val="0032284D"/>
    <w:pPr>
      <w:tabs>
        <w:tab w:val="center" w:pos="4513"/>
        <w:tab w:val="right" w:pos="9026"/>
      </w:tabs>
    </w:pPr>
  </w:style>
  <w:style w:type="character" w:customStyle="1" w:styleId="FooterChar">
    <w:name w:val="Footer Char"/>
    <w:link w:val="Footer"/>
    <w:uiPriority w:val="99"/>
    <w:rsid w:val="0032284D"/>
    <w:rPr>
      <w:sz w:val="22"/>
      <w:szCs w:val="22"/>
      <w:lang w:eastAsia="en-US"/>
    </w:rPr>
  </w:style>
  <w:style w:type="paragraph" w:styleId="NoSpacing">
    <w:name w:val="No Spacing"/>
    <w:link w:val="NoSpacingChar"/>
    <w:uiPriority w:val="1"/>
    <w:qFormat/>
    <w:rsid w:val="0032284D"/>
    <w:rPr>
      <w:rFonts w:eastAsia="Times New Roman"/>
      <w:sz w:val="22"/>
      <w:szCs w:val="22"/>
      <w:lang w:val="en-US" w:eastAsia="en-US" w:bidi="ar-SA"/>
    </w:rPr>
  </w:style>
  <w:style w:type="character" w:customStyle="1" w:styleId="NoSpacingChar">
    <w:name w:val="No Spacing Char"/>
    <w:link w:val="NoSpacing"/>
    <w:uiPriority w:val="1"/>
    <w:rsid w:val="0032284D"/>
    <w:rPr>
      <w:rFonts w:eastAsia="Times New Roman"/>
      <w:sz w:val="22"/>
      <w:szCs w:val="22"/>
      <w:lang w:val="en-US" w:eastAsia="en-US" w:bidi="ar-SA"/>
    </w:rPr>
  </w:style>
  <w:style w:type="table" w:styleId="TableGrid">
    <w:name w:val="Table Grid"/>
    <w:basedOn w:val="TableNormal"/>
    <w:uiPriority w:val="59"/>
    <w:rsid w:val="00B06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33F890-FBCA-42D9-8DC1-707CA905C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Vinay Varghese</cp:lastModifiedBy>
  <cp:revision>6</cp:revision>
  <dcterms:created xsi:type="dcterms:W3CDTF">2012-04-17T02:09:00Z</dcterms:created>
  <dcterms:modified xsi:type="dcterms:W3CDTF">2014-05-08T01:06:00Z</dcterms:modified>
</cp:coreProperties>
</file>