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Australia</w:t>
      </w:r>
    </w:p>
    <w:p w:rsidR="001A6775">
      <w:pPr>
        <w:pStyle w:val="Heading4"/>
        <w:bidi w:val="0"/>
        <w:spacing w:after="280" w:afterAutospacing="1"/>
      </w:pPr>
      <w:r>
        <w:rPr>
          <w:rtl w:val="0"/>
        </w:rPr>
        <w:t>Number of cars per household</w:t>
      </w:r>
    </w:p>
    <w:p w:rsidR="001A6775">
      <w:pPr>
        <w:bidi w:val="0"/>
        <w:spacing w:after="280" w:afterAutospacing="1"/>
      </w:pPr>
      <w:r>
        <w:rPr>
          <w:rtl w:val="0"/>
        </w:rPr>
        <w:t xml:space="preserve">The ability of the population to access services and employment is strongly influenced by access to transport. The number of motor vehicles per household in Australia quantifies access to private transport and will be influenced by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and </w:t>
      </w:r>
      <w:r>
        <w:rPr>
          <w:rtl w:val="0"/>
        </w:rPr>
        <w:fldChar w:fldCharType="begin"/>
      </w:r>
      <w:r>
        <w:rPr>
          <w:rtl w:val="0"/>
        </w:rPr>
        <w:instrText xml:space="preserve"> HYPERLINK "households?[QS]" </w:instrText>
      </w:r>
      <w:r>
        <w:rPr>
          <w:rtl w:val="0"/>
        </w:rPr>
        <w:fldChar w:fldCharType="separate"/>
      </w:r>
      <w:r>
        <w:rPr>
          <w:color w:val="0000FF"/>
          <w:u w:val="single"/>
          <w:rtl w:val="0"/>
        </w:rPr>
        <w:t>Household Type</w:t>
      </w:r>
      <w:r>
        <w:rPr>
          <w:rtl w:val="0"/>
        </w:rPr>
        <w:fldChar w:fldCharType="end"/>
      </w:r>
      <w:r>
        <w:rPr>
          <w:rtl w:val="0"/>
        </w:rPr>
        <w:t xml:space="preserve">, which determine the number of adults present; access to </w:t>
      </w:r>
      <w:r>
        <w:rPr>
          <w:rtl w:val="0"/>
        </w:rPr>
        <w:fldChar w:fldCharType="begin"/>
      </w:r>
      <w:r>
        <w:rPr>
          <w:rtl w:val="0"/>
        </w:rPr>
        <w:instrText xml:space="preserve"> HYPERLINK "travel-to-work?[QS]" </w:instrText>
      </w:r>
      <w:r>
        <w:rPr>
          <w:rtl w:val="0"/>
        </w:rPr>
        <w:fldChar w:fldCharType="separate"/>
      </w:r>
      <w:r>
        <w:rPr>
          <w:color w:val="0000FF"/>
          <w:u w:val="single"/>
          <w:rtl w:val="0"/>
        </w:rPr>
        <w:t>Public Transport</w:t>
      </w:r>
      <w:r>
        <w:rPr>
          <w:rtl w:val="0"/>
        </w:rPr>
        <w:fldChar w:fldCharType="end"/>
      </w:r>
      <w:r>
        <w:rPr>
          <w:rtl w:val="0"/>
        </w:rPr>
        <w:t xml:space="preserve">; distance to shops, services, employment and education; and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Depending on these factors, car ownership can be seen as a measure of advantage or disadvantage, or a neutral socio-economic measure, which impacts on the environment and quality of life.</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Car ownership</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Australia - Households (Enumerated)</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Number of cars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Capital Cities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Greater Capital Cities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motor vehicles</w:t>
            </w:r>
          </w:p>
        </w:tc>
        <w:tc>
          <w:tcPr>
            <w:vAlign w:val="center"/>
          </w:tcPr>
          <w:p w:rsidR="001A6775">
            <w:pPr>
              <w:bidi w:val="0"/>
              <w:spacing w:after="0" w:afterAutospacing="1"/>
              <w:jc w:val="right"/>
              <w:rPr>
                <w:b w:val="0"/>
                <w:sz w:val="20"/>
              </w:rPr>
            </w:pPr>
            <w:r>
              <w:rPr>
                <w:b w:val="0"/>
                <w:sz w:val="20"/>
              </w:rPr>
              <w:t>691,886</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8.1</w:t>
            </w:r>
          </w:p>
        </w:tc>
        <w:tc>
          <w:tcPr>
            <w:vAlign w:val="center"/>
          </w:tcPr>
          <w:p w:rsidR="001A6775">
            <w:pPr>
              <w:bidi w:val="0"/>
              <w:spacing w:after="0" w:afterAutospacing="1"/>
              <w:jc w:val="right"/>
              <w:rPr>
                <w:b w:val="0"/>
                <w:sz w:val="20"/>
              </w:rPr>
            </w:pPr>
            <w:r>
              <w:rPr>
                <w:b w:val="0"/>
                <w:sz w:val="20"/>
              </w:rPr>
              <w:t>643,304</w:t>
            </w:r>
          </w:p>
        </w:tc>
        <w:tc>
          <w:tcPr>
            <w:vAlign w:val="center"/>
          </w:tcPr>
          <w:p w:rsidR="001A6775">
            <w:pPr>
              <w:bidi w:val="0"/>
              <w:spacing w:after="0" w:afterAutospacing="1"/>
              <w:jc w:val="right"/>
              <w:rPr>
                <w:b w:val="0"/>
                <w:sz w:val="20"/>
              </w:rPr>
            </w:pPr>
            <w:r>
              <w:rPr>
                <w:b w:val="0"/>
                <w:sz w:val="20"/>
              </w:rPr>
              <w:t>7.3</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+48,582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1 motor vehicle</w:t>
            </w:r>
          </w:p>
        </w:tc>
        <w:tc>
          <w:tcPr>
            <w:vAlign w:val="center"/>
          </w:tcPr>
          <w:p w:rsidR="001A6775">
            <w:pPr>
              <w:bidi w:val="0"/>
              <w:spacing w:after="0" w:afterAutospacing="1"/>
              <w:jc w:val="right"/>
              <w:rPr>
                <w:b w:val="0"/>
                <w:sz w:val="20"/>
              </w:rPr>
            </w:pPr>
            <w:r>
              <w:rPr>
                <w:b w:val="0"/>
                <w:sz w:val="20"/>
              </w:rPr>
              <w:t>3,438,319</w:t>
            </w:r>
          </w:p>
        </w:tc>
        <w:tc>
          <w:tcPr>
            <w:vAlign w:val="center"/>
          </w:tcPr>
          <w:p w:rsidR="001A6775">
            <w:pPr>
              <w:bidi w:val="0"/>
              <w:spacing w:after="0" w:afterAutospacing="1"/>
              <w:jc w:val="right"/>
              <w:rPr>
                <w:b w:val="0"/>
                <w:sz w:val="20"/>
              </w:rPr>
            </w:pPr>
            <w:r>
              <w:rPr>
                <w:b w:val="0"/>
                <w:sz w:val="20"/>
              </w:rPr>
              <w:t>35.1</w:t>
            </w:r>
          </w:p>
        </w:tc>
        <w:tc>
          <w:tcPr>
            <w:vAlign w:val="center"/>
          </w:tcPr>
          <w:p w:rsidR="001A6775">
            <w:pPr>
              <w:bidi w:val="0"/>
              <w:spacing w:after="0" w:afterAutospacing="1"/>
              <w:jc w:val="right"/>
              <w:rPr>
                <w:b w:val="0"/>
                <w:sz w:val="20"/>
              </w:rPr>
            </w:pPr>
            <w:r>
              <w:rPr>
                <w:b w:val="0"/>
                <w:sz w:val="20"/>
              </w:rPr>
              <w:t>36.0</w:t>
            </w:r>
          </w:p>
        </w:tc>
        <w:tc>
          <w:tcPr>
            <w:vAlign w:val="center"/>
          </w:tcPr>
          <w:p w:rsidR="001A6775">
            <w:pPr>
              <w:bidi w:val="0"/>
              <w:spacing w:after="0" w:afterAutospacing="1"/>
              <w:jc w:val="right"/>
              <w:rPr>
                <w:b w:val="0"/>
                <w:sz w:val="20"/>
              </w:rPr>
            </w:pPr>
            <w:r>
              <w:rPr>
                <w:b w:val="0"/>
                <w:sz w:val="20"/>
              </w:rPr>
              <w:t>2,945,022</w:t>
            </w:r>
          </w:p>
        </w:tc>
        <w:tc>
          <w:tcPr>
            <w:vAlign w:val="center"/>
          </w:tcPr>
          <w:p w:rsidR="001A6775">
            <w:pPr>
              <w:bidi w:val="0"/>
              <w:spacing w:after="0" w:afterAutospacing="1"/>
              <w:jc w:val="right"/>
              <w:rPr>
                <w:b w:val="0"/>
                <w:sz w:val="20"/>
              </w:rPr>
            </w:pPr>
            <w:r>
              <w:rPr>
                <w:b w:val="0"/>
                <w:sz w:val="20"/>
              </w:rPr>
              <w:t>33.2</w:t>
            </w:r>
          </w:p>
        </w:tc>
        <w:tc>
          <w:tcPr>
            <w:vAlign w:val="center"/>
          </w:tcPr>
          <w:p w:rsidR="001A6775">
            <w:pPr>
              <w:bidi w:val="0"/>
              <w:spacing w:after="0" w:afterAutospacing="1"/>
              <w:jc w:val="right"/>
              <w:rPr>
                <w:b w:val="0"/>
                <w:sz w:val="20"/>
              </w:rPr>
            </w:pPr>
            <w:r>
              <w:rPr>
                <w:b w:val="0"/>
                <w:sz w:val="20"/>
              </w:rPr>
              <w:t>33.7</w:t>
            </w:r>
          </w:p>
        </w:tc>
        <w:tc>
          <w:tcPr>
            <w:vAlign w:val="center"/>
          </w:tcPr>
          <w:p w:rsidR="001A6775">
            <w:pPr>
              <w:bidi w:val="0"/>
              <w:spacing w:after="0" w:afterAutospacing="1"/>
              <w:jc w:val="right"/>
              <w:rPr>
                <w:b w:val="0"/>
                <w:sz w:val="20"/>
              </w:rPr>
            </w:pPr>
            <w:r>
              <w:rPr>
                <w:b w:val="0"/>
                <w:sz w:val="20"/>
              </w:rPr>
              <w:t>+493,297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2 motor vehicles</w:t>
            </w:r>
          </w:p>
        </w:tc>
        <w:tc>
          <w:tcPr>
            <w:vAlign w:val="center"/>
          </w:tcPr>
          <w:p w:rsidR="001A6775">
            <w:pPr>
              <w:bidi w:val="0"/>
              <w:spacing w:after="0" w:afterAutospacing="1"/>
              <w:jc w:val="right"/>
              <w:rPr>
                <w:b w:val="0"/>
                <w:sz w:val="20"/>
              </w:rPr>
            </w:pPr>
            <w:r>
              <w:rPr>
                <w:b w:val="0"/>
                <w:sz w:val="20"/>
              </w:rPr>
              <w:t>3,395,106</w:t>
            </w:r>
          </w:p>
        </w:tc>
        <w:tc>
          <w:tcPr>
            <w:vAlign w:val="center"/>
          </w:tcPr>
          <w:p w:rsidR="001A6775">
            <w:pPr>
              <w:bidi w:val="0"/>
              <w:spacing w:after="0" w:afterAutospacing="1"/>
              <w:jc w:val="right"/>
              <w:rPr>
                <w:b w:val="0"/>
                <w:sz w:val="20"/>
              </w:rPr>
            </w:pPr>
            <w:r>
              <w:rPr>
                <w:b w:val="0"/>
                <w:sz w:val="20"/>
              </w:rPr>
              <w:t>34.6</w:t>
            </w:r>
          </w:p>
        </w:tc>
        <w:tc>
          <w:tcPr>
            <w:vAlign w:val="center"/>
          </w:tcPr>
          <w:p w:rsidR="001A6775">
            <w:pPr>
              <w:bidi w:val="0"/>
              <w:spacing w:after="0" w:afterAutospacing="1"/>
              <w:jc w:val="right"/>
              <w:rPr>
                <w:b w:val="0"/>
                <w:sz w:val="20"/>
              </w:rPr>
            </w:pPr>
            <w:r>
              <w:rPr>
                <w:b w:val="0"/>
                <w:sz w:val="20"/>
              </w:rPr>
              <w:t>34.4</w:t>
            </w:r>
          </w:p>
        </w:tc>
        <w:tc>
          <w:tcPr>
            <w:vAlign w:val="center"/>
          </w:tcPr>
          <w:p w:rsidR="001A6775">
            <w:pPr>
              <w:bidi w:val="0"/>
              <w:spacing w:after="0" w:afterAutospacing="1"/>
              <w:jc w:val="right"/>
              <w:rPr>
                <w:b w:val="0"/>
                <w:sz w:val="20"/>
              </w:rPr>
            </w:pPr>
            <w:r>
              <w:rPr>
                <w:b w:val="0"/>
                <w:sz w:val="20"/>
              </w:rPr>
              <w:t>3,025,454</w:t>
            </w:r>
          </w:p>
        </w:tc>
        <w:tc>
          <w:tcPr>
            <w:vAlign w:val="center"/>
          </w:tcPr>
          <w:p w:rsidR="001A6775">
            <w:pPr>
              <w:bidi w:val="0"/>
              <w:spacing w:after="0" w:afterAutospacing="1"/>
              <w:jc w:val="right"/>
              <w:rPr>
                <w:b w:val="0"/>
                <w:sz w:val="20"/>
              </w:rPr>
            </w:pPr>
            <w:r>
              <w:rPr>
                <w:b w:val="0"/>
                <w:sz w:val="20"/>
              </w:rPr>
              <w:t>34.1</w:t>
            </w:r>
          </w:p>
        </w:tc>
        <w:tc>
          <w:tcPr>
            <w:vAlign w:val="center"/>
          </w:tcPr>
          <w:p w:rsidR="001A6775">
            <w:pPr>
              <w:bidi w:val="0"/>
              <w:spacing w:after="0" w:afterAutospacing="1"/>
              <w:jc w:val="right"/>
              <w:rPr>
                <w:b w:val="0"/>
                <w:sz w:val="20"/>
              </w:rPr>
            </w:pPr>
            <w:r>
              <w:rPr>
                <w:b w:val="0"/>
                <w:sz w:val="20"/>
              </w:rPr>
              <w:t>34.1</w:t>
            </w:r>
          </w:p>
        </w:tc>
        <w:tc>
          <w:tcPr>
            <w:vAlign w:val="center"/>
          </w:tcPr>
          <w:p w:rsidR="001A6775">
            <w:pPr>
              <w:bidi w:val="0"/>
              <w:spacing w:after="0" w:afterAutospacing="1"/>
              <w:jc w:val="right"/>
              <w:rPr>
                <w:b w:val="0"/>
                <w:sz w:val="20"/>
              </w:rPr>
            </w:pPr>
            <w:r>
              <w:rPr>
                <w:b w:val="0"/>
                <w:sz w:val="20"/>
              </w:rPr>
              <w:t>+369,652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3 or more motor vehicles</w:t>
            </w:r>
          </w:p>
        </w:tc>
        <w:tc>
          <w:tcPr>
            <w:vAlign w:val="center"/>
          </w:tcPr>
          <w:p w:rsidR="001A6775">
            <w:pPr>
              <w:bidi w:val="0"/>
              <w:spacing w:after="0" w:afterAutospacing="1"/>
              <w:jc w:val="right"/>
              <w:rPr>
                <w:b w:val="0"/>
                <w:sz w:val="20"/>
              </w:rPr>
            </w:pPr>
            <w:r>
              <w:rPr>
                <w:b w:val="0"/>
                <w:sz w:val="20"/>
              </w:rPr>
              <w:t>1,754,876</w:t>
            </w:r>
          </w:p>
        </w:tc>
        <w:tc>
          <w:tcPr>
            <w:vAlign w:val="center"/>
          </w:tcPr>
          <w:p w:rsidR="001A6775">
            <w:pPr>
              <w:bidi w:val="0"/>
              <w:spacing w:after="0" w:afterAutospacing="1"/>
              <w:jc w:val="right"/>
              <w:rPr>
                <w:b w:val="0"/>
                <w:sz w:val="20"/>
              </w:rPr>
            </w:pPr>
            <w:r>
              <w:rPr>
                <w:b w:val="0"/>
                <w:sz w:val="20"/>
              </w:rPr>
              <w:t>17.9</w:t>
            </w:r>
          </w:p>
        </w:tc>
        <w:tc>
          <w:tcPr>
            <w:vAlign w:val="center"/>
          </w:tcPr>
          <w:p w:rsidR="001A6775">
            <w:pPr>
              <w:bidi w:val="0"/>
              <w:spacing w:after="0" w:afterAutospacing="1"/>
              <w:jc w:val="right"/>
              <w:rPr>
                <w:b w:val="0"/>
                <w:sz w:val="20"/>
              </w:rPr>
            </w:pPr>
            <w:r>
              <w:rPr>
                <w:b w:val="0"/>
                <w:sz w:val="20"/>
              </w:rPr>
              <w:t>16.8</w:t>
            </w:r>
          </w:p>
        </w:tc>
        <w:tc>
          <w:tcPr>
            <w:vAlign w:val="center"/>
          </w:tcPr>
          <w:p w:rsidR="001A6775">
            <w:pPr>
              <w:bidi w:val="0"/>
              <w:spacing w:after="0" w:afterAutospacing="1"/>
              <w:jc w:val="right"/>
              <w:rPr>
                <w:b w:val="0"/>
                <w:sz w:val="20"/>
              </w:rPr>
            </w:pPr>
            <w:r>
              <w:rPr>
                <w:b w:val="0"/>
                <w:sz w:val="20"/>
              </w:rPr>
              <w:t>1,505,374</w:t>
            </w:r>
          </w:p>
        </w:tc>
        <w:tc>
          <w:tcPr>
            <w:vAlign w:val="center"/>
          </w:tcPr>
          <w:p w:rsidR="001A6775">
            <w:pPr>
              <w:bidi w:val="0"/>
              <w:spacing w:after="0" w:afterAutospacing="1"/>
              <w:jc w:val="right"/>
              <w:rPr>
                <w:b w:val="0"/>
                <w:sz w:val="20"/>
              </w:rPr>
            </w:pPr>
            <w:r>
              <w:rPr>
                <w:b w:val="0"/>
                <w:sz w:val="20"/>
              </w:rPr>
              <w:t>17.0</w:t>
            </w:r>
          </w:p>
        </w:tc>
        <w:tc>
          <w:tcPr>
            <w:vAlign w:val="center"/>
          </w:tcPr>
          <w:p w:rsidR="001A6775">
            <w:pPr>
              <w:bidi w:val="0"/>
              <w:spacing w:after="0" w:afterAutospacing="1"/>
              <w:jc w:val="right"/>
              <w:rPr>
                <w:b w:val="0"/>
                <w:sz w:val="20"/>
              </w:rPr>
            </w:pPr>
            <w:r>
              <w:rPr>
                <w:b w:val="0"/>
                <w:sz w:val="20"/>
              </w:rPr>
              <w:t>16.4</w:t>
            </w:r>
          </w:p>
        </w:tc>
        <w:tc>
          <w:tcPr>
            <w:vAlign w:val="center"/>
          </w:tcPr>
          <w:p w:rsidR="001A6775">
            <w:pPr>
              <w:bidi w:val="0"/>
              <w:spacing w:after="0" w:afterAutospacing="1"/>
              <w:jc w:val="right"/>
              <w:rPr>
                <w:b w:val="0"/>
                <w:sz w:val="20"/>
              </w:rPr>
            </w:pPr>
            <w:r>
              <w:rPr>
                <w:b w:val="0"/>
                <w:sz w:val="20"/>
              </w:rPr>
              <w:t>+249,502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528,207</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742,467</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7.6</w:t>
            </w:r>
          </w:p>
        </w:tc>
        <w:tc>
          <w:tcPr>
            <w:vAlign w:val="center"/>
          </w:tcPr>
          <w:p w:rsidR="001A6775">
            <w:pPr>
              <w:bidi w:val="0"/>
              <w:spacing w:after="0" w:afterAutospacing="1"/>
              <w:jc w:val="right"/>
              <w:rPr>
                <w:b w:val="0"/>
                <w:sz w:val="20"/>
              </w:rPr>
            </w:pPr>
            <w:r>
              <w:rPr>
                <w:b w:val="0"/>
                <w:sz w:val="20"/>
              </w:rPr>
              <w:t>-214,260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households</w:t>
            </w:r>
          </w:p>
        </w:tc>
        <w:tc>
          <w:tcPr>
            <w:vAlign w:val="center"/>
          </w:tcPr>
          <w:p w:rsidR="001A6775">
            <w:pPr>
              <w:bidi w:val="0"/>
              <w:spacing w:after="0" w:afterAutospacing="1"/>
              <w:jc w:val="right"/>
              <w:rPr>
                <w:b/>
                <w:sz w:val="20"/>
              </w:rPr>
            </w:pPr>
            <w:r>
              <w:rPr>
                <w:b/>
                <w:sz w:val="20"/>
              </w:rPr>
              <w:t>9,808,394</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8,861,621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+946,773</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car ownership of the households in Australia in 2021 compared to Greater Capital Cities shows that 87.6% of the households owned at least one car, while 7.1% did not, compared with 87.2% and 8.1% respectively in Greater Capital Cities.</w:t>
      </w:r>
    </w:p>
    <w:p>
      <w:pPr>
        <w:bidi w:val="0"/>
        <w:spacing w:after="280" w:afterAutospacing="1"/>
        <w:rPr>
          <w:rtl w:val="0"/>
        </w:rPr>
      </w:pPr>
      <w:r>
        <w:rPr>
          <w:rtl w:val="0"/>
        </w:rPr>
        <w:t>Of those that owned at least one vehicle, there was a smaller proportion who owned just one car; a similar proportion who owned two cars; and a larger proportion who owned three cars or more.</w:t>
      </w:r>
    </w:p>
    <w:p>
      <w:pPr>
        <w:bidi w:val="0"/>
        <w:spacing w:after="280" w:afterAutospacing="1"/>
        <w:rPr>
          <w:rtl w:val="0"/>
        </w:rPr>
      </w:pPr>
      <w:r>
        <w:rPr>
          <w:rtl w:val="0"/>
        </w:rPr>
        <w:t>Overall, 35.1% of the households owned one car; 34.6% owned two cars; and 17.9% owned three cars or more, compared with 36.0%; 34.4% and 16.8% respectively for Greater Capital Cities.</w:t>
      </w:r>
    </w:p>
    <w:p w:rsidR="001A6775">
      <w:pPr>
        <w:bidi w:val="0"/>
        <w:spacing w:after="280" w:afterAutospacing="1"/>
      </w:pPr>
      <w:r>
        <w:rPr>
          <w:rtl w:val="0"/>
        </w:rPr>
        <w:t>The largest changes in the household car ownership in Australia between 2016 and 2021 were:</w:t>
      </w:r>
    </w:p>
    <w:p>
      <w:pPr>
        <w:numPr>
          <w:ilvl w:val="0"/>
          <w:numId w:val="1"/>
        </w:numPr>
        <w:bidi w:val="0"/>
        <w:spacing w:after="0" w:afterAutospacing="0"/>
        <w:rPr>
          <w:rtl w:val="0"/>
        </w:rPr>
      </w:pPr>
      <w:r>
        <w:rPr>
          <w:rtl w:val="0"/>
        </w:rPr>
        <w:t>1 motor vehicle (+493,297 households)</w:t>
      </w:r>
    </w:p>
    <w:p>
      <w:pPr>
        <w:numPr>
          <w:ilvl w:val="0"/>
          <w:numId w:val="1"/>
        </w:numPr>
        <w:bidi w:val="0"/>
        <w:spacing w:after="0" w:afterAutospacing="0"/>
        <w:ind w:left="720"/>
        <w:rPr>
          <w:rtl w:val="0"/>
        </w:rPr>
      </w:pPr>
      <w:r>
        <w:rPr>
          <w:rtl w:val="0"/>
        </w:rPr>
        <w:t>2 motor vehicles (+369,652 households)</w:t>
      </w:r>
    </w:p>
    <w:p>
      <w:pPr>
        <w:numPr>
          <w:ilvl w:val="0"/>
          <w:numId w:val="1"/>
        </w:numPr>
        <w:bidi w:val="0"/>
        <w:spacing w:after="0" w:afterAutospacing="0"/>
        <w:ind w:left="720"/>
        <w:rPr>
          <w:rtl w:val="0"/>
        </w:rPr>
      </w:pPr>
      <w:r>
        <w:rPr>
          <w:rtl w:val="0"/>
        </w:rPr>
        <w:t>3 or more motor vehicles (+249,502 households)</w:t>
      </w:r>
    </w:p>
    <w:p>
      <w:pPr>
        <w:numPr>
          <w:ilvl w:val="0"/>
          <w:numId w:val="1"/>
        </w:numPr>
        <w:bidi w:val="0"/>
        <w:spacing w:after="280" w:afterAutospacing="1"/>
        <w:ind w:left="720"/>
        <w:rPr>
          <w:rtl w:val="0"/>
        </w:rPr>
      </w:pPr>
      <w:r>
        <w:rPr>
          <w:rtl w:val="0"/>
        </w:rPr>
        <w:t>No motor vehicles (+48,582 households)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